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40D" w:rsidRDefault="001C740D" w:rsidP="001C740D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 w:hint="eastAsia"/>
          <w:color w:val="666666"/>
          <w:sz w:val="18"/>
          <w:szCs w:val="18"/>
          <w:lang w:eastAsia="ko-KR" w:bidi="ar-SA"/>
        </w:rPr>
      </w:pPr>
    </w:p>
    <w:p w:rsidR="001C740D" w:rsidRDefault="001C740D" w:rsidP="001C740D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 w:hint="eastAsia"/>
          <w:color w:val="666666"/>
          <w:sz w:val="18"/>
          <w:szCs w:val="18"/>
          <w:lang w:eastAsia="ko-KR" w:bidi="ar-SA"/>
        </w:rPr>
      </w:pPr>
    </w:p>
    <w:p w:rsidR="001C740D" w:rsidRPr="001C740D" w:rsidRDefault="001C740D" w:rsidP="001C740D">
      <w:pPr>
        <w:spacing w:before="100" w:beforeAutospacing="1" w:after="100" w:afterAutospacing="1" w:line="300" w:lineRule="atLeast"/>
        <w:jc w:val="left"/>
        <w:rPr>
          <w:rFonts w:ascii="Verdana" w:hAnsi="Verdana" w:hint="eastAsia"/>
          <w:b/>
          <w:color w:val="666666"/>
          <w:sz w:val="18"/>
          <w:szCs w:val="18"/>
          <w:lang w:eastAsia="ko-KR"/>
        </w:rPr>
      </w:pPr>
      <w:proofErr w:type="spellStart"/>
      <w:r w:rsidRPr="001C740D">
        <w:rPr>
          <w:rFonts w:ascii="Verdana" w:hAnsi="Verdana"/>
          <w:b/>
          <w:color w:val="666666"/>
          <w:sz w:val="18"/>
          <w:szCs w:val="18"/>
        </w:rPr>
        <w:t>2044</w:t>
      </w:r>
      <w:r w:rsidRPr="001C740D">
        <w:rPr>
          <w:rFonts w:ascii="Verdana" w:hAnsi="Verdana"/>
          <w:b/>
          <w:color w:val="666666"/>
          <w:sz w:val="18"/>
          <w:szCs w:val="18"/>
        </w:rPr>
        <w:t>년</w:t>
      </w:r>
      <w:proofErr w:type="spellEnd"/>
      <w:r w:rsidRPr="001C740D">
        <w:rPr>
          <w:rFonts w:ascii="Verdana" w:hAnsi="Verdana"/>
          <w:b/>
          <w:color w:val="666666"/>
          <w:sz w:val="18"/>
          <w:szCs w:val="18"/>
        </w:rPr>
        <w:t xml:space="preserve">, </w:t>
      </w:r>
      <w:proofErr w:type="spellStart"/>
      <w:r w:rsidRPr="001C740D">
        <w:rPr>
          <w:rFonts w:ascii="Verdana" w:hAnsi="Verdana"/>
          <w:b/>
          <w:color w:val="666666"/>
          <w:sz w:val="18"/>
          <w:szCs w:val="18"/>
        </w:rPr>
        <w:t>한국불교의</w:t>
      </w:r>
      <w:proofErr w:type="spellEnd"/>
      <w:r w:rsidRPr="001C740D">
        <w:rPr>
          <w:rFonts w:ascii="Verdana" w:hAnsi="Verdana"/>
          <w:b/>
          <w:color w:val="666666"/>
          <w:sz w:val="18"/>
          <w:szCs w:val="18"/>
        </w:rPr>
        <w:t xml:space="preserve"> </w:t>
      </w:r>
      <w:proofErr w:type="spellStart"/>
      <w:r w:rsidRPr="001C740D">
        <w:rPr>
          <w:rFonts w:ascii="Verdana" w:hAnsi="Verdana"/>
          <w:b/>
          <w:color w:val="666666"/>
          <w:sz w:val="18"/>
          <w:szCs w:val="18"/>
        </w:rPr>
        <w:t>미래</w:t>
      </w:r>
      <w:proofErr w:type="spellEnd"/>
    </w:p>
    <w:p w:rsidR="001C740D" w:rsidRDefault="001C740D" w:rsidP="001C740D">
      <w:pPr>
        <w:spacing w:before="100" w:beforeAutospacing="1" w:after="100" w:afterAutospacing="1" w:line="300" w:lineRule="atLeast"/>
        <w:jc w:val="left"/>
        <w:rPr>
          <w:rFonts w:ascii="Verdana" w:hAnsi="Verdana" w:hint="eastAsia"/>
          <w:color w:val="666666"/>
          <w:sz w:val="18"/>
          <w:szCs w:val="18"/>
          <w:lang w:eastAsia="ko-KR"/>
        </w:rPr>
      </w:pPr>
    </w:p>
    <w:p w:rsidR="001C740D" w:rsidRDefault="001C740D" w:rsidP="001C740D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 w:hint="eastAsia"/>
          <w:color w:val="666666"/>
          <w:sz w:val="18"/>
          <w:szCs w:val="18"/>
          <w:lang w:eastAsia="ko-KR" w:bidi="ar-SA"/>
        </w:rPr>
      </w:pPr>
      <w:proofErr w:type="spellStart"/>
      <w:r>
        <w:rPr>
          <w:rFonts w:ascii="Verdana" w:hAnsi="Verdana" w:hint="eastAsia"/>
          <w:color w:val="666666"/>
          <w:sz w:val="18"/>
          <w:szCs w:val="18"/>
          <w:lang w:eastAsia="ko-KR"/>
        </w:rPr>
        <w:t>불교포커스</w:t>
      </w:r>
      <w:proofErr w:type="spellEnd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080"/>
        <w:gridCol w:w="3946"/>
      </w:tblGrid>
      <w:tr w:rsidR="001C740D" w:rsidRPr="001C740D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1C740D" w:rsidRPr="001C740D" w:rsidRDefault="001C740D" w:rsidP="001C740D">
            <w:pPr>
              <w:spacing w:after="0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1C740D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2012</w:t>
            </w:r>
            <w:r w:rsidRPr="001C740D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년</w:t>
            </w:r>
            <w:r w:rsidRPr="001C740D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02</w:t>
            </w:r>
            <w:r w:rsidRPr="001C740D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월</w:t>
            </w:r>
            <w:r w:rsidRPr="001C740D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06</w:t>
            </w:r>
            <w:r w:rsidRPr="001C740D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일</w:t>
            </w:r>
            <w:r w:rsidRPr="001C740D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(</w:t>
            </w:r>
            <w:r w:rsidRPr="001C740D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월</w:t>
            </w:r>
            <w:r w:rsidRPr="001C740D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) 13:24:04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1C740D" w:rsidRPr="001C740D" w:rsidRDefault="001C740D" w:rsidP="001C740D">
            <w:pPr>
              <w:spacing w:after="0" w:line="300" w:lineRule="atLeast"/>
              <w:jc w:val="righ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proofErr w:type="spellStart"/>
            <w:r w:rsidRPr="001C740D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송귀종</w:t>
            </w:r>
            <w:proofErr w:type="spellEnd"/>
            <w:r w:rsidRPr="001C740D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/ </w:t>
            </w:r>
            <w:proofErr w:type="spellStart"/>
            <w:r w:rsidRPr="001C740D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불교미래사회연구소</w:t>
            </w:r>
            <w:proofErr w:type="spellEnd"/>
            <w:r w:rsidRPr="001C740D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</w:p>
        </w:tc>
      </w:tr>
    </w:tbl>
    <w:p w:rsidR="001C740D" w:rsidRPr="001C740D" w:rsidRDefault="001C740D" w:rsidP="001C740D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 w:hint="eastAsia"/>
          <w:color w:val="666666"/>
          <w:sz w:val="18"/>
          <w:szCs w:val="18"/>
          <w:lang w:eastAsia="ko-KR" w:bidi="ar-SA"/>
        </w:rPr>
      </w:pPr>
    </w:p>
    <w:p w:rsidR="001C740D" w:rsidRPr="001C740D" w:rsidRDefault="001C740D" w:rsidP="001C740D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불교미래사회연구소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(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소장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퇴휴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)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에서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실시한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‘2044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한국불교의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미래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’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가까운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미래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구체적으로는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2044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경의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한국불교와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조계종의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모습을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예측해보기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위해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작성되었다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즉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1994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종단개혁으로부터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50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년이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지난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2044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년에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이르렀을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때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한국불교는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어떠한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것인지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가늠해보자는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글의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목적이라고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하겠다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같은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과정을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통해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종단이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당시의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개혁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정신을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어떻게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실천해나가고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있는지에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대한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점검과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아울러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종단을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이루는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여러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구성요소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및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현상들이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미래에는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어떤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모습으로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변화해갈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것인지에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관한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고민을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함께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해볼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것이다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또한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종단의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미래상을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구체적으로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보여줌으로써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다양한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이슈에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대한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사부대중의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사고의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폭을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확대하여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한국불교의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현재와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미래를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다시금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생각해볼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계기를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제공코자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하였다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</w:t>
      </w:r>
    </w:p>
    <w:p w:rsidR="001C740D" w:rsidRPr="001C740D" w:rsidRDefault="001C740D" w:rsidP="001C740D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글을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구성하면서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종단현황통계와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국가통계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등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공신력과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전문성을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고려해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선정한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각종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선행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자료를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종합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분석하여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한국불교의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미래상을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예측하였다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향후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한국불교가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직면할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몇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가지의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큰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변화의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흐름은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각각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한국사회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종교지형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종단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출가자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및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연령구조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종단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재정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종무행정체계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및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종단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조직구조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그리고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미래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사찰의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역할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변화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등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총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여섯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개의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주제로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나뉘어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제시되고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</w:t>
      </w:r>
    </w:p>
    <w:p w:rsidR="001C740D" w:rsidRPr="001C740D" w:rsidRDefault="001C740D" w:rsidP="001C740D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다만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불교미래사회연구소의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이번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예측은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어디까지나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앞으로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일어날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가상의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미래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중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하나의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모습을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제시해본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것으로서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본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연구소와는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다른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방향의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예측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또한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얼마든지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가능함을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주지해둔다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</w:t>
      </w:r>
    </w:p>
    <w:p w:rsidR="001C740D" w:rsidRPr="001C740D" w:rsidRDefault="001C740D" w:rsidP="001C740D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  </w:t>
      </w:r>
    </w:p>
    <w:tbl>
      <w:tblPr>
        <w:tblW w:w="876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35"/>
        <w:gridCol w:w="8490"/>
        <w:gridCol w:w="135"/>
      </w:tblGrid>
      <w:tr w:rsidR="001C740D" w:rsidRPr="001C740D">
        <w:trPr>
          <w:tblCellSpacing w:w="0" w:type="dxa"/>
          <w:jc w:val="center"/>
        </w:trPr>
        <w:tc>
          <w:tcPr>
            <w:tcW w:w="150" w:type="dxa"/>
            <w:vAlign w:val="center"/>
            <w:hideMark/>
          </w:tcPr>
          <w:p w:rsidR="001C740D" w:rsidRPr="001C740D" w:rsidRDefault="001C740D" w:rsidP="001C740D">
            <w:pPr>
              <w:spacing w:after="0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1C740D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740D" w:rsidRPr="001C740D" w:rsidRDefault="001C740D" w:rsidP="001C740D">
            <w:pPr>
              <w:spacing w:after="0" w:line="300" w:lineRule="atLeast"/>
              <w:jc w:val="center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>
              <w:rPr>
                <w:rFonts w:ascii="Verdana" w:eastAsia="굴림" w:hAnsi="Verdana" w:cs="굴림"/>
                <w:noProof/>
                <w:color w:val="666666"/>
                <w:sz w:val="18"/>
                <w:szCs w:val="18"/>
                <w:lang w:eastAsia="ko-KR" w:bidi="ar-SA"/>
              </w:rPr>
              <w:drawing>
                <wp:inline distT="0" distB="0" distL="0" distR="0">
                  <wp:extent cx="5372100" cy="2181225"/>
                  <wp:effectExtent l="19050" t="0" r="0" b="0"/>
                  <wp:docPr id="1" name="그림 1" descr="http://www.bulgyofocus.net/news/photo/201202/64817_36282_29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bulgyofocus.net/news/photo/201202/64817_36282_29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2100" cy="2181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vAlign w:val="center"/>
            <w:hideMark/>
          </w:tcPr>
          <w:p w:rsidR="001C740D" w:rsidRPr="001C740D" w:rsidRDefault="001C740D" w:rsidP="001C740D">
            <w:pPr>
              <w:spacing w:after="0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1C740D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 </w:t>
            </w:r>
          </w:p>
        </w:tc>
      </w:tr>
      <w:tr w:rsidR="001C740D" w:rsidRPr="001C740D">
        <w:trPr>
          <w:tblCellSpacing w:w="0" w:type="dxa"/>
          <w:jc w:val="center"/>
        </w:trPr>
        <w:tc>
          <w:tcPr>
            <w:tcW w:w="0" w:type="auto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740D" w:rsidRPr="001C740D" w:rsidRDefault="001C740D" w:rsidP="001C740D">
            <w:pPr>
              <w:spacing w:after="0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1C740D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 </w:t>
            </w:r>
          </w:p>
        </w:tc>
      </w:tr>
    </w:tbl>
    <w:p w:rsidR="001C740D" w:rsidRPr="001C740D" w:rsidRDefault="001C740D" w:rsidP="001C740D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lastRenderedPageBreak/>
        <w:t> </w:t>
      </w:r>
    </w:p>
    <w:p w:rsidR="001C740D" w:rsidRPr="001C740D" w:rsidRDefault="001C740D" w:rsidP="001C740D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1. 2044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년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, 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한국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최대종교의</w:t>
      </w:r>
      <w:proofErr w:type="spellEnd"/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지위는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천주교가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차지할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것이다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.</w:t>
      </w:r>
    </w:p>
    <w:p w:rsidR="001C740D" w:rsidRPr="001C740D" w:rsidRDefault="001C740D" w:rsidP="001C740D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 </w:t>
      </w:r>
    </w:p>
    <w:p w:rsidR="001C740D" w:rsidRPr="001C740D" w:rsidRDefault="001C740D" w:rsidP="001C740D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1980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년대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기독교의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주목할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만한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교세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확장에도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불구하고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아직까지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우리나라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최대의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종교는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불교이다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통계청에서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10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년마다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발표하는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한국의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인구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통계수치에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따르면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2005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기준으로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불교를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믿는다고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응답한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인구수는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총인구의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약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23%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를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차지하고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, 18%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개신교와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11%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천주교보다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앞서는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것으로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나타났다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그러나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향후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30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후에도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이러한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현상이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유지될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있는지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추세를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살펴볼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필요가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것이다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</w:t>
      </w:r>
    </w:p>
    <w:p w:rsidR="001C740D" w:rsidRPr="001C740D" w:rsidRDefault="001C740D" w:rsidP="001C740D">
      <w:pPr>
        <w:spacing w:before="100" w:beforeAutospacing="1" w:after="100" w:afterAutospacing="1" w:line="300" w:lineRule="atLeast"/>
        <w:jc w:val="center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&lt;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종교별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신자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추이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&gt; (</w:t>
      </w:r>
      <w:proofErr w:type="gram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단위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:</w:t>
      </w:r>
      <w:proofErr w:type="gram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천명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)  </w:t>
      </w:r>
    </w:p>
    <w:tbl>
      <w:tblPr>
        <w:tblW w:w="87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35"/>
        <w:gridCol w:w="8430"/>
        <w:gridCol w:w="135"/>
      </w:tblGrid>
      <w:tr w:rsidR="001C740D" w:rsidRPr="001C740D">
        <w:trPr>
          <w:tblCellSpacing w:w="0" w:type="dxa"/>
          <w:jc w:val="center"/>
        </w:trPr>
        <w:tc>
          <w:tcPr>
            <w:tcW w:w="150" w:type="dxa"/>
            <w:vAlign w:val="center"/>
            <w:hideMark/>
          </w:tcPr>
          <w:p w:rsidR="001C740D" w:rsidRPr="001C740D" w:rsidRDefault="001C740D" w:rsidP="001C740D">
            <w:pPr>
              <w:spacing w:after="0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1C740D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740D" w:rsidRPr="001C740D" w:rsidRDefault="001C740D" w:rsidP="001C740D">
            <w:pPr>
              <w:spacing w:after="0" w:line="300" w:lineRule="atLeast"/>
              <w:jc w:val="center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>
              <w:rPr>
                <w:rFonts w:ascii="Verdana" w:eastAsia="굴림" w:hAnsi="Verdana" w:cs="굴림"/>
                <w:noProof/>
                <w:color w:val="666666"/>
                <w:sz w:val="18"/>
                <w:szCs w:val="18"/>
                <w:lang w:eastAsia="ko-KR" w:bidi="ar-SA"/>
              </w:rPr>
              <w:drawing>
                <wp:inline distT="0" distB="0" distL="0" distR="0">
                  <wp:extent cx="5334000" cy="2266950"/>
                  <wp:effectExtent l="19050" t="0" r="0" b="0"/>
                  <wp:docPr id="2" name="그림 2" descr="http://www.bulgyofocus.net/news/photo/201202/64817_36283_29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bulgyofocus.net/news/photo/201202/64817_36283_29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0" cy="2266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vAlign w:val="center"/>
            <w:hideMark/>
          </w:tcPr>
          <w:p w:rsidR="001C740D" w:rsidRPr="001C740D" w:rsidRDefault="001C740D" w:rsidP="001C740D">
            <w:pPr>
              <w:spacing w:after="0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1C740D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 </w:t>
            </w:r>
          </w:p>
        </w:tc>
      </w:tr>
      <w:tr w:rsidR="001C740D" w:rsidRPr="001C740D">
        <w:trPr>
          <w:tblCellSpacing w:w="0" w:type="dxa"/>
          <w:jc w:val="center"/>
        </w:trPr>
        <w:tc>
          <w:tcPr>
            <w:tcW w:w="0" w:type="auto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740D" w:rsidRPr="001C740D" w:rsidRDefault="001C740D" w:rsidP="001C740D">
            <w:pPr>
              <w:spacing w:after="0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1C740D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 </w:t>
            </w:r>
          </w:p>
        </w:tc>
      </w:tr>
    </w:tbl>
    <w:p w:rsidR="001C740D" w:rsidRPr="001C740D" w:rsidRDefault="001C740D" w:rsidP="001C740D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통계청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종교인구조사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자료에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나타난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1985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년과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2005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년까지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존재하는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과거의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데이터로부터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각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종교의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향후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인구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증감을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추산하였다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추세예측의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근거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자료인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3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신자수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데이터는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1985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, 1995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, 2005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년의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단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3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차년도에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불과해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여기서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추출한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미래상이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갖는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신뢰성이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다소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떨어지는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게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사실이다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</w:t>
      </w:r>
    </w:p>
    <w:p w:rsidR="001C740D" w:rsidRPr="001C740D" w:rsidRDefault="001C740D" w:rsidP="001C740D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그러나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공신력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자료로서의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통계청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발표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사용에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데이터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부족으로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인한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예측의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부정확함은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어느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정도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감수해야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하는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부분으로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그래프를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해석할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때는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다른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간섭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요인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없이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지난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20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년간의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증감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추세가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계속된다는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매우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제한적인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가정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하에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종교별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추세선의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결과를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받아들일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수밖에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없을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것이다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</w:t>
      </w:r>
    </w:p>
    <w:p w:rsidR="001C740D" w:rsidRPr="001C740D" w:rsidRDefault="001C740D" w:rsidP="001C740D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여기에서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1995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년부터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2005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사이의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종교별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신자수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변화는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대단히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핵심적인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부분으로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양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시점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불교는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답보상태를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보이고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개신교는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감소하는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데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반해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천주교는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상승함을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알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 1985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년부터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1995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사이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나타나는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모든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그래프의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상승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국면이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10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만에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이러한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양상으로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전환된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곧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불교와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개신교가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감소세를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맞이한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와중에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천주교는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유일하게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교세가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커지게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됨을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뜻한다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천주교의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인구수가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그만큼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빠르게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증가해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2044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경이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되면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3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중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신자를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가장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많이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보유한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한국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최대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종교가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되리라는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정도는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충분히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추론해낼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것이다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</w:t>
      </w:r>
    </w:p>
    <w:p w:rsidR="001C740D" w:rsidRPr="001C740D" w:rsidRDefault="001C740D" w:rsidP="001C740D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특히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천주교의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증가율은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10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전보다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오히려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높아졌는데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그림에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표시된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천주교의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미래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추세선에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의하면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지금으로부터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30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여년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뒤이자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종단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개혁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50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주년을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맞이하는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2044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무렵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즉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그래프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상의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2045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년이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lastRenderedPageBreak/>
        <w:t>되면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천주교의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신자수는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2,500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만명에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육박하게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것이다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추계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총인구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4,450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만명의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56%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달하는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규모이며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종교를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가진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인구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전체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가운데서는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82%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되는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거대한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수치이다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기실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우리나라의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총인구가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2018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년에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정점을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찍은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감소하게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됨을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감안하면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천주교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신자가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꾸준히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늘어나기만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한다는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예측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자체는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비현실적이라고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할지라도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천주교의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인구수가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그만큼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빠르게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증가해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2044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경이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되면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3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중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신자를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가장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많이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보유한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한국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최대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종교가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되리라는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정도는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충분히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추론해낼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것이다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</w:t>
      </w:r>
    </w:p>
    <w:p w:rsidR="001C740D" w:rsidRPr="001C740D" w:rsidRDefault="001C740D" w:rsidP="001C740D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 </w:t>
      </w:r>
    </w:p>
    <w:p w:rsidR="001C740D" w:rsidRPr="001C740D" w:rsidRDefault="001C740D" w:rsidP="001C740D">
      <w:pPr>
        <w:spacing w:before="100" w:beforeAutospacing="1" w:after="100" w:afterAutospacing="1" w:line="300" w:lineRule="atLeast"/>
        <w:jc w:val="center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2. </w:t>
      </w:r>
      <w:proofErr w:type="spellStart"/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노쇠해지는</w:t>
      </w:r>
      <w:proofErr w:type="spellEnd"/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조계종</w:t>
      </w:r>
    </w:p>
    <w:p w:rsidR="001C740D" w:rsidRPr="001C740D" w:rsidRDefault="001C740D" w:rsidP="001C740D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-30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년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후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종단의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신규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출가자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수는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20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여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명까지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떨어진다</w:t>
      </w:r>
    </w:p>
    <w:p w:rsidR="001C740D" w:rsidRPr="001C740D" w:rsidRDefault="001C740D" w:rsidP="001C740D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성직자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감소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및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종교의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쇠락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현상에서는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한국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불교도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자유롭지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않다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조계종의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경우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2000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년대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들어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출가를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희망하는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인원의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꾸준히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적어지는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추세이며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이러한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감소세가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계속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이어진다면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gram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2044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경에는</w:t>
      </w:r>
      <w:proofErr w:type="gram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출가자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현저히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하락할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것이며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종단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행자교육원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수료자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현황을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통해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실증적인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결과로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제시될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</w:t>
      </w:r>
    </w:p>
    <w:p w:rsidR="001C740D" w:rsidRPr="001C740D" w:rsidRDefault="001C740D" w:rsidP="001C740D">
      <w:pPr>
        <w:spacing w:before="100" w:beforeAutospacing="1" w:after="100" w:afterAutospacing="1" w:line="300" w:lineRule="atLeast"/>
        <w:jc w:val="center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&lt;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조계종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출가자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변화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&gt; (</w:t>
      </w:r>
      <w:proofErr w:type="gram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단위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:</w:t>
      </w:r>
      <w:proofErr w:type="gram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명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)</w:t>
      </w:r>
    </w:p>
    <w:tbl>
      <w:tblPr>
        <w:tblW w:w="798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35"/>
        <w:gridCol w:w="7710"/>
        <w:gridCol w:w="135"/>
      </w:tblGrid>
      <w:tr w:rsidR="001C740D" w:rsidRPr="001C740D">
        <w:trPr>
          <w:tblCellSpacing w:w="0" w:type="dxa"/>
          <w:jc w:val="center"/>
        </w:trPr>
        <w:tc>
          <w:tcPr>
            <w:tcW w:w="150" w:type="dxa"/>
            <w:vAlign w:val="center"/>
            <w:hideMark/>
          </w:tcPr>
          <w:p w:rsidR="001C740D" w:rsidRPr="001C740D" w:rsidRDefault="001C740D" w:rsidP="001C740D">
            <w:pPr>
              <w:spacing w:after="0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1C740D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740D" w:rsidRPr="001C740D" w:rsidRDefault="001C740D" w:rsidP="001C740D">
            <w:pPr>
              <w:spacing w:after="0" w:line="300" w:lineRule="atLeast"/>
              <w:jc w:val="center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>
              <w:rPr>
                <w:rFonts w:ascii="Verdana" w:eastAsia="굴림" w:hAnsi="Verdana" w:cs="굴림"/>
                <w:noProof/>
                <w:color w:val="666666"/>
                <w:sz w:val="18"/>
                <w:szCs w:val="18"/>
                <w:lang w:eastAsia="ko-KR" w:bidi="ar-SA"/>
              </w:rPr>
              <w:drawing>
                <wp:inline distT="0" distB="0" distL="0" distR="0">
                  <wp:extent cx="4876800" cy="1914525"/>
                  <wp:effectExtent l="19050" t="0" r="0" b="0"/>
                  <wp:docPr id="3" name="그림 3" descr="http://www.bulgyofocus.net/news/photo/201202/64817_36284_29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bulgyofocus.net/news/photo/201202/64817_36284_29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0" cy="1914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vAlign w:val="center"/>
            <w:hideMark/>
          </w:tcPr>
          <w:p w:rsidR="001C740D" w:rsidRPr="001C740D" w:rsidRDefault="001C740D" w:rsidP="001C740D">
            <w:pPr>
              <w:spacing w:after="0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1C740D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 </w:t>
            </w:r>
          </w:p>
        </w:tc>
      </w:tr>
      <w:tr w:rsidR="001C740D" w:rsidRPr="001C740D">
        <w:trPr>
          <w:tblCellSpacing w:w="0" w:type="dxa"/>
          <w:jc w:val="center"/>
        </w:trPr>
        <w:tc>
          <w:tcPr>
            <w:tcW w:w="0" w:type="auto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740D" w:rsidRPr="001C740D" w:rsidRDefault="001C740D" w:rsidP="001C740D">
            <w:pPr>
              <w:spacing w:after="0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1C740D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 </w:t>
            </w:r>
          </w:p>
        </w:tc>
      </w:tr>
    </w:tbl>
    <w:p w:rsidR="001C740D" w:rsidRPr="001C740D" w:rsidRDefault="001C740D" w:rsidP="001C740D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2044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조계종단의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출가자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비교적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간단히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구할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부드러운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지수함수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형태를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띠는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그래프의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실선은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매년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일정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비율로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출가자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감소함을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의미하는데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, 2000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년에서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2009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년까지의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행자교육원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현황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데이터의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평균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증감율을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보면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출가자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연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평균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감소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비율이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7%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정도가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된다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결국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2009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년으로부터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35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뒤인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2044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년의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출가자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약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21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명이라는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결론을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얻을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있게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되는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것이다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</w:t>
      </w:r>
    </w:p>
    <w:p w:rsidR="001C740D" w:rsidRPr="001C740D" w:rsidRDefault="001C740D" w:rsidP="001C740D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-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나이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든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승려의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비율은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현재의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두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배가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된다</w:t>
      </w:r>
    </w:p>
    <w:p w:rsidR="001C740D" w:rsidRPr="001C740D" w:rsidRDefault="001C740D" w:rsidP="001C740D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승가집단에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새롭게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유입되는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출가자들의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규모가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줄어드는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조계종단의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노령화라는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결과로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이어진다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그렇다면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지금으로부터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약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30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여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조계종의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노년층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인구비율을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보면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, 2004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년에서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2008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년까지의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종단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통계자료가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밝히고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전체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승려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가운데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65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세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이상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승려의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비율은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2008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기준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12.3%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일반적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인구기준에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의하면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종단은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이미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고령화사회를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지나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고령사회에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가까워지는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상태이다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다음으로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2044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년의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전체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승려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중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65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세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이상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승려의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비율을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계산하여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2008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년과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비교해볼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있겠는데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이를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위해서는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2044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년의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전체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승려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65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세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이상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승려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수를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각각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비교해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볼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것이다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종단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통계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데이터가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존재하는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2004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년부터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2008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년까지의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5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년간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65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세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이상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승려는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연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평균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약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134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명씩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증가하였으므로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lastRenderedPageBreak/>
        <w:t>2008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년부터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기산해서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36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후인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2044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년의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노년층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승려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6,500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여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명이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것이라는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결론에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이르게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된다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그리고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이렇게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도출한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2044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년의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예측치를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통해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전체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승려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중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65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세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이상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승려가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차지하는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비율은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약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37%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나타난다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2008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12%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세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배를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초과하는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수치로서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전체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승려의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연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평균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증가율보다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65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세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이상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승려의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증가율이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더욱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높아져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2044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즈음에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이르면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세납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65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세가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넘은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노스님의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인구비율이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현재의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세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배가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됨을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의미한다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</w:t>
      </w:r>
    </w:p>
    <w:p w:rsidR="001C740D" w:rsidRPr="001C740D" w:rsidRDefault="001C740D" w:rsidP="001C740D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 </w:t>
      </w:r>
    </w:p>
    <w:p w:rsidR="001C740D" w:rsidRPr="001C740D" w:rsidRDefault="001C740D" w:rsidP="001C740D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-</w:t>
      </w:r>
      <w:proofErr w:type="spellStart"/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승려노후복지의</w:t>
      </w:r>
      <w:proofErr w:type="spellEnd"/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근간이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위협받게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될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것이다</w:t>
      </w:r>
    </w:p>
    <w:p w:rsidR="001C740D" w:rsidRPr="001C740D" w:rsidRDefault="001C740D" w:rsidP="001C740D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종단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고령화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현상에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뒤따르는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문제로는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우선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인력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부족이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현재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조계종의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등록사찰은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매년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2%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가량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늘어나는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중이고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사회복지시설도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근래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약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10%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정도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증설되고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있으며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외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총무원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산하기관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및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단체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등이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늘어나고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수반해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상임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교역직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승려의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또한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증가하게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것인데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종단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구성원의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연령이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높아지면서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일할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젊은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승려의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오히려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줄어들면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조직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운영에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필요한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인력의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수급에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큰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어려움이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발생할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가능성은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충분하다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</w:t>
      </w:r>
    </w:p>
    <w:p w:rsidR="001C740D" w:rsidRPr="001C740D" w:rsidRDefault="001C740D" w:rsidP="001C740D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심각한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문제는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이처럼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노동가능인구가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줄어들면서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노년층의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부양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부담이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커진다는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것이다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종단은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지난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10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월부터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승려노후복지제도를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시작해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세납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65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세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이상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스님들의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의료</w:t>
      </w:r>
      <w:proofErr w:type="gram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?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요양비</w:t>
      </w:r>
      <w:proofErr w:type="spellEnd"/>
      <w:proofErr w:type="gram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지원을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시행하고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있는바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, 2044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년에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이르면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젊은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승려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약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1.7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명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(63.1%)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나이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승려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1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명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(36.9%)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부양해야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한다는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계산이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나오게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된다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즉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모든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승려의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생활비가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동일하다는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가정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하에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2044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년에는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승려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사람이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벌어들인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수입의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넘는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금액을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65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세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이상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승려의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노후복지에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쏟아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부어야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하는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상황이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도래한다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그러므로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노후복지제도를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유지하기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위해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종단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집행부가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지출해야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하는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금액은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점점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증가하여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결국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재정적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근간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자체가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흔들리게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것으로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보인다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</w:t>
      </w:r>
    </w:p>
    <w:p w:rsidR="001C740D" w:rsidRPr="001C740D" w:rsidRDefault="001C740D" w:rsidP="001C740D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 </w:t>
      </w:r>
    </w:p>
    <w:p w:rsidR="001C740D" w:rsidRPr="001C740D" w:rsidRDefault="001C740D" w:rsidP="001C740D">
      <w:pPr>
        <w:spacing w:before="100" w:beforeAutospacing="1" w:after="100" w:afterAutospacing="1" w:line="300" w:lineRule="atLeast"/>
        <w:jc w:val="center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3. 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퇴보하는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종단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재정</w:t>
      </w:r>
    </w:p>
    <w:p w:rsidR="001C740D" w:rsidRPr="001C740D" w:rsidRDefault="001C740D" w:rsidP="001C740D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-2044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년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경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종단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예산은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현재의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71%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가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된다</w:t>
      </w:r>
    </w:p>
    <w:p w:rsidR="001C740D" w:rsidRPr="001C740D" w:rsidRDefault="001C740D" w:rsidP="001C740D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일상적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종무행정과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각종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불사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수익사업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등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종단의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기본적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재원확보에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대한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문제에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대한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예측이다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지금으로부터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30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여년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종단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개혁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50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주년을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맞는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2044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조계종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중앙종단의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예산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규모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및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재정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상황은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어떻게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될까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?</w:t>
      </w:r>
    </w:p>
    <w:p w:rsidR="001C740D" w:rsidRPr="001C740D" w:rsidRDefault="001C740D" w:rsidP="001C740D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종단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개혁이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있었던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1995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조계종단의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예산은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등락을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거듭하는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와중에도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전반적으로는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소폭의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성장세를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기록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, 2010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년부터는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예산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총액이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3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백억원을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넘어서고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그러나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이러한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성장세는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물가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상승의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속도에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비하면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그야말로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소폭에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지나지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않으며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실질적으로는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오히려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감소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중이라고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말할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, 2044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년이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되면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종단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예산의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실제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규모는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현재의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71%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수준으로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떨어질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것이라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예측된다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</w:t>
      </w:r>
    </w:p>
    <w:p w:rsidR="001C740D" w:rsidRPr="001C740D" w:rsidRDefault="001C740D" w:rsidP="001C740D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-</w:t>
      </w:r>
      <w:proofErr w:type="spellStart"/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분담금수입과</w:t>
      </w:r>
      <w:proofErr w:type="spellEnd"/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총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예산의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관계는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?</w:t>
      </w:r>
    </w:p>
    <w:p w:rsidR="001C740D" w:rsidRPr="001C740D" w:rsidRDefault="001C740D" w:rsidP="001C740D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같은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예측에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이르는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추론의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과정은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우선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종단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세입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예산의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미래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예상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금액을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가늠해보는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것에서부터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시작하자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미래의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예산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규모는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과거부터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현재까지의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매년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예산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변동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추이와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거기서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추출해낸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특정한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추세를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시계열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대입함으로써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얻을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것이다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</w:t>
      </w:r>
    </w:p>
    <w:p w:rsidR="001C740D" w:rsidRPr="001C740D" w:rsidRDefault="001C740D" w:rsidP="001C740D">
      <w:pPr>
        <w:spacing w:before="100" w:beforeAutospacing="1" w:after="100" w:afterAutospacing="1" w:line="300" w:lineRule="atLeast"/>
        <w:jc w:val="center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&lt;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연도별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조계종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예산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총액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&gt;  (</w:t>
      </w:r>
      <w:proofErr w:type="gram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단위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:</w:t>
      </w:r>
      <w:proofErr w:type="gram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백만원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)  </w:t>
      </w:r>
    </w:p>
    <w:tbl>
      <w:tblPr>
        <w:tblW w:w="804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35"/>
        <w:gridCol w:w="7770"/>
        <w:gridCol w:w="135"/>
      </w:tblGrid>
      <w:tr w:rsidR="001C740D" w:rsidRPr="001C740D">
        <w:trPr>
          <w:tblCellSpacing w:w="0" w:type="dxa"/>
          <w:jc w:val="center"/>
        </w:trPr>
        <w:tc>
          <w:tcPr>
            <w:tcW w:w="150" w:type="dxa"/>
            <w:vAlign w:val="center"/>
            <w:hideMark/>
          </w:tcPr>
          <w:p w:rsidR="001C740D" w:rsidRPr="001C740D" w:rsidRDefault="001C740D" w:rsidP="001C740D">
            <w:pPr>
              <w:spacing w:after="0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1C740D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1C740D" w:rsidRPr="001C740D" w:rsidRDefault="001C740D" w:rsidP="001C740D">
            <w:pPr>
              <w:spacing w:after="0" w:line="300" w:lineRule="atLeast"/>
              <w:jc w:val="center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>
              <w:rPr>
                <w:rFonts w:ascii="Verdana" w:eastAsia="굴림" w:hAnsi="Verdana" w:cs="굴림"/>
                <w:noProof/>
                <w:color w:val="666666"/>
                <w:sz w:val="18"/>
                <w:szCs w:val="18"/>
                <w:lang w:eastAsia="ko-KR" w:bidi="ar-SA"/>
              </w:rPr>
              <w:drawing>
                <wp:inline distT="0" distB="0" distL="0" distR="0">
                  <wp:extent cx="4914900" cy="1714500"/>
                  <wp:effectExtent l="19050" t="0" r="0" b="0"/>
                  <wp:docPr id="4" name="그림 4" descr="http://www.bulgyofocus.net/news/photo/201202/64817_36285_2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bulgyofocus.net/news/photo/201202/64817_36285_29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vAlign w:val="center"/>
            <w:hideMark/>
          </w:tcPr>
          <w:p w:rsidR="001C740D" w:rsidRPr="001C740D" w:rsidRDefault="001C740D" w:rsidP="001C740D">
            <w:pPr>
              <w:spacing w:after="0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1C740D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 </w:t>
            </w:r>
          </w:p>
        </w:tc>
      </w:tr>
      <w:tr w:rsidR="001C740D" w:rsidRPr="001C740D">
        <w:trPr>
          <w:tblCellSpacing w:w="0" w:type="dxa"/>
          <w:jc w:val="center"/>
        </w:trPr>
        <w:tc>
          <w:tcPr>
            <w:tcW w:w="0" w:type="auto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740D" w:rsidRPr="001C740D" w:rsidRDefault="001C740D" w:rsidP="001C740D">
            <w:pPr>
              <w:spacing w:after="0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1C740D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 </w:t>
            </w:r>
          </w:p>
        </w:tc>
      </w:tr>
    </w:tbl>
    <w:p w:rsidR="001C740D" w:rsidRPr="001C740D" w:rsidRDefault="001C740D" w:rsidP="001C740D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종단의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연도별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예산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총액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추이에서는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약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10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년의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단위를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상정했을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때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소폭의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증가를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보이기도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하나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어떤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유형화된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추세를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발견하기는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어렵다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즉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2003~2004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년도의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경우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시설건립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대규모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행사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등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종단차원의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거대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불사가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추진되는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시기에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대규모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재원의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투입으로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예산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총액이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일시적으로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대폭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상승하였기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때문이다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그러나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조계종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일반회계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세입의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80%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이상을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차지하는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분담금수입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추이로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들어가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보면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액수에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거의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변동이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없이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매년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일정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수준을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유지하고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있음을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알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</w:t>
      </w:r>
    </w:p>
    <w:p w:rsidR="001C740D" w:rsidRPr="001C740D" w:rsidRDefault="001C740D" w:rsidP="001C740D">
      <w:pPr>
        <w:spacing w:before="100" w:beforeAutospacing="1" w:after="100" w:afterAutospacing="1" w:line="300" w:lineRule="atLeast"/>
        <w:jc w:val="center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 &lt;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연도별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조계종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분담금수입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&gt; (</w:t>
      </w:r>
      <w:proofErr w:type="gram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단위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:</w:t>
      </w:r>
      <w:proofErr w:type="gram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백만원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)  </w:t>
      </w:r>
    </w:p>
    <w:tbl>
      <w:tblPr>
        <w:tblW w:w="741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35"/>
        <w:gridCol w:w="7140"/>
        <w:gridCol w:w="135"/>
      </w:tblGrid>
      <w:tr w:rsidR="001C740D" w:rsidRPr="001C740D">
        <w:trPr>
          <w:tblCellSpacing w:w="0" w:type="dxa"/>
          <w:jc w:val="center"/>
        </w:trPr>
        <w:tc>
          <w:tcPr>
            <w:tcW w:w="150" w:type="dxa"/>
            <w:vAlign w:val="center"/>
            <w:hideMark/>
          </w:tcPr>
          <w:p w:rsidR="001C740D" w:rsidRPr="001C740D" w:rsidRDefault="001C740D" w:rsidP="001C740D">
            <w:pPr>
              <w:spacing w:after="0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1C740D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740D" w:rsidRPr="001C740D" w:rsidRDefault="001C740D" w:rsidP="001C740D">
            <w:pPr>
              <w:spacing w:after="0" w:line="300" w:lineRule="atLeast"/>
              <w:jc w:val="center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>
              <w:rPr>
                <w:rFonts w:ascii="Verdana" w:eastAsia="굴림" w:hAnsi="Verdana" w:cs="굴림"/>
                <w:noProof/>
                <w:color w:val="666666"/>
                <w:sz w:val="18"/>
                <w:szCs w:val="18"/>
                <w:lang w:eastAsia="ko-KR" w:bidi="ar-SA"/>
              </w:rPr>
              <w:drawing>
                <wp:inline distT="0" distB="0" distL="0" distR="0">
                  <wp:extent cx="4514850" cy="1714500"/>
                  <wp:effectExtent l="19050" t="0" r="0" b="0"/>
                  <wp:docPr id="5" name="그림 5" descr="http://www.bulgyofocus.net/news/photo/201202/64817_36286_29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bulgyofocus.net/news/photo/201202/64817_36286_29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vAlign w:val="center"/>
            <w:hideMark/>
          </w:tcPr>
          <w:p w:rsidR="001C740D" w:rsidRPr="001C740D" w:rsidRDefault="001C740D" w:rsidP="001C740D">
            <w:pPr>
              <w:spacing w:after="0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1C740D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 </w:t>
            </w:r>
          </w:p>
        </w:tc>
      </w:tr>
      <w:tr w:rsidR="001C740D" w:rsidRPr="001C740D">
        <w:trPr>
          <w:tblCellSpacing w:w="0" w:type="dxa"/>
          <w:jc w:val="center"/>
        </w:trPr>
        <w:tc>
          <w:tcPr>
            <w:tcW w:w="0" w:type="auto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C740D" w:rsidRPr="001C740D" w:rsidRDefault="001C740D" w:rsidP="001C740D">
            <w:pPr>
              <w:spacing w:after="0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1C740D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 </w:t>
            </w:r>
          </w:p>
        </w:tc>
      </w:tr>
    </w:tbl>
    <w:p w:rsidR="001C740D" w:rsidRPr="001C740D" w:rsidRDefault="001C740D" w:rsidP="001C740D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종법령에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의해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규정된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분담금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납부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체계는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종단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각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주체의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이해관계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대립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및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종법령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개정의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어려움으로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인해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쉽게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바뀌지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않으리라고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예상되며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시간의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흐름에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따라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금액이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자연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인상되는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정률구조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또한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아니다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따라서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다른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변동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요인이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발생하지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않는다는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가정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하에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2044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년의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분담금수입은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현재와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동일한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160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억원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내외가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것으로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보인다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</w:t>
      </w:r>
    </w:p>
    <w:p w:rsidR="001C740D" w:rsidRPr="001C740D" w:rsidRDefault="001C740D" w:rsidP="001C740D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그러면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2044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년의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종단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예산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총액은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대체로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2010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세입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총예산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348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억원을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분담금수입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160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억원과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나머지수입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188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억원으로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양분하고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188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억원에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34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년분의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물가상승률을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적용하면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2044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예산의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대체적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규모를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산출할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</w:t>
      </w:r>
    </w:p>
    <w:tbl>
      <w:tblPr>
        <w:tblW w:w="994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45"/>
      </w:tblGrid>
      <w:tr w:rsidR="001C740D" w:rsidRPr="001C740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40D" w:rsidRPr="001C740D" w:rsidRDefault="001C740D" w:rsidP="001C740D">
            <w:pPr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1C740D">
              <w:rPr>
                <w:rFonts w:ascii="HCI Poppy" w:eastAsia="휴먼명조" w:hAnsi="HCI Poppy" w:cs="굴림" w:hint="eastAsia"/>
                <w:color w:val="666666"/>
                <w:sz w:val="18"/>
                <w:szCs w:val="18"/>
                <w:lang w:eastAsia="ko-KR" w:bidi="ar-SA"/>
              </w:rPr>
              <w:t>•</w:t>
            </w:r>
            <w:r w:rsidRPr="001C740D">
              <w:rPr>
                <w:rFonts w:ascii="HCI Poppy" w:eastAsia="휴먼명조" w:hAnsi="HCI Poppy" w:cs="굴림" w:hint="eastAsia"/>
                <w:color w:val="666666"/>
                <w:sz w:val="18"/>
                <w:szCs w:val="18"/>
                <w:lang w:eastAsia="ko-KR" w:bidi="ar-SA"/>
              </w:rPr>
              <w:t xml:space="preserve"> 2044</w:t>
            </w:r>
            <w:r w:rsidRPr="001C740D">
              <w:rPr>
                <w:rFonts w:ascii="HCI Poppy" w:eastAsia="휴먼명조" w:hAnsi="HCI Poppy" w:cs="굴림" w:hint="eastAsia"/>
                <w:color w:val="666666"/>
                <w:sz w:val="18"/>
                <w:szCs w:val="18"/>
                <w:lang w:eastAsia="ko-KR" w:bidi="ar-SA"/>
              </w:rPr>
              <w:t>년</w:t>
            </w:r>
            <w:r w:rsidRPr="001C740D">
              <w:rPr>
                <w:rFonts w:ascii="HCI Poppy" w:eastAsia="휴먼명조" w:hAnsi="HCI Poppy" w:cs="굴림" w:hint="eastAsia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1C740D">
              <w:rPr>
                <w:rFonts w:ascii="HCI Poppy" w:eastAsia="휴먼명조" w:hAnsi="HCI Poppy" w:cs="굴림" w:hint="eastAsia"/>
                <w:color w:val="666666"/>
                <w:sz w:val="18"/>
                <w:szCs w:val="18"/>
                <w:lang w:eastAsia="ko-KR" w:bidi="ar-SA"/>
              </w:rPr>
              <w:t>예산</w:t>
            </w:r>
            <w:r w:rsidRPr="001C740D">
              <w:rPr>
                <w:rFonts w:ascii="HCI Poppy" w:eastAsia="휴먼명조" w:hAnsi="HCI Poppy" w:cs="굴림" w:hint="eastAsia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1C740D">
              <w:rPr>
                <w:rFonts w:ascii="HCI Poppy" w:eastAsia="휴먼명조" w:hAnsi="HCI Poppy" w:cs="굴림" w:hint="eastAsia"/>
                <w:color w:val="666666"/>
                <w:sz w:val="18"/>
                <w:szCs w:val="18"/>
                <w:lang w:eastAsia="ko-KR" w:bidi="ar-SA"/>
              </w:rPr>
              <w:t>총액</w:t>
            </w:r>
            <w:r w:rsidRPr="001C740D">
              <w:rPr>
                <w:rFonts w:ascii="HCI Poppy" w:eastAsia="휴먼명조" w:hAnsi="HCI Poppy" w:cs="굴림" w:hint="eastAsia"/>
                <w:color w:val="666666"/>
                <w:sz w:val="18"/>
                <w:szCs w:val="18"/>
                <w:lang w:eastAsia="ko-KR" w:bidi="ar-SA"/>
              </w:rPr>
              <w:t xml:space="preserve"> = 2010</w:t>
            </w:r>
            <w:r w:rsidRPr="001C740D">
              <w:rPr>
                <w:rFonts w:ascii="HCI Poppy" w:eastAsia="휴먼명조" w:hAnsi="HCI Poppy" w:cs="굴림" w:hint="eastAsia"/>
                <w:color w:val="666666"/>
                <w:sz w:val="18"/>
                <w:szCs w:val="18"/>
                <w:lang w:eastAsia="ko-KR" w:bidi="ar-SA"/>
              </w:rPr>
              <w:t>년</w:t>
            </w:r>
            <w:r w:rsidRPr="001C740D">
              <w:rPr>
                <w:rFonts w:ascii="HCI Poppy" w:eastAsia="휴먼명조" w:hAnsi="HCI Poppy" w:cs="굴림" w:hint="eastAsia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1C740D">
              <w:rPr>
                <w:rFonts w:ascii="HCI Poppy" w:eastAsia="휴먼명조" w:hAnsi="HCI Poppy" w:cs="굴림" w:hint="eastAsia"/>
                <w:color w:val="666666"/>
                <w:sz w:val="18"/>
                <w:szCs w:val="18"/>
                <w:lang w:eastAsia="ko-KR" w:bidi="ar-SA"/>
              </w:rPr>
              <w:t>분담금수입</w:t>
            </w:r>
            <w:proofErr w:type="spellEnd"/>
            <w:r w:rsidRPr="001C740D">
              <w:rPr>
                <w:rFonts w:ascii="HCI Poppy" w:eastAsia="휴먼명조" w:hAnsi="HCI Poppy" w:cs="굴림" w:hint="eastAsia"/>
                <w:color w:val="666666"/>
                <w:sz w:val="18"/>
                <w:szCs w:val="18"/>
                <w:lang w:eastAsia="ko-KR" w:bidi="ar-SA"/>
              </w:rPr>
              <w:t xml:space="preserve"> + 2010</w:t>
            </w:r>
            <w:r w:rsidRPr="001C740D">
              <w:rPr>
                <w:rFonts w:ascii="HCI Poppy" w:eastAsia="휴먼명조" w:hAnsi="HCI Poppy" w:cs="굴림" w:hint="eastAsia"/>
                <w:color w:val="666666"/>
                <w:sz w:val="18"/>
                <w:szCs w:val="18"/>
                <w:lang w:eastAsia="ko-KR" w:bidi="ar-SA"/>
              </w:rPr>
              <w:t>년</w:t>
            </w:r>
            <w:r w:rsidRPr="001C740D">
              <w:rPr>
                <w:rFonts w:ascii="HCI Poppy" w:eastAsia="휴먼명조" w:hAnsi="HCI Poppy" w:cs="굴림" w:hint="eastAsia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1C740D">
              <w:rPr>
                <w:rFonts w:ascii="HCI Poppy" w:eastAsia="휴먼명조" w:hAnsi="HCI Poppy" w:cs="굴림" w:hint="eastAsia"/>
                <w:color w:val="666666"/>
                <w:sz w:val="18"/>
                <w:szCs w:val="18"/>
                <w:lang w:eastAsia="ko-KR" w:bidi="ar-SA"/>
              </w:rPr>
              <w:t>나머지수입</w:t>
            </w:r>
            <w:proofErr w:type="spellEnd"/>
            <w:r w:rsidRPr="001C740D">
              <w:rPr>
                <w:rFonts w:ascii="HCI Poppy" w:eastAsia="휴먼명조" w:hAnsi="HCI Poppy" w:cs="굴림" w:hint="eastAsia"/>
                <w:color w:val="666666"/>
                <w:sz w:val="18"/>
                <w:szCs w:val="18"/>
                <w:lang w:eastAsia="ko-KR" w:bidi="ar-SA"/>
              </w:rPr>
              <w:t>(</w:t>
            </w:r>
            <w:proofErr w:type="spellStart"/>
            <w:r w:rsidRPr="001C740D">
              <w:rPr>
                <w:rFonts w:ascii="HCI Poppy" w:eastAsia="휴먼명조" w:hAnsi="HCI Poppy" w:cs="굴림" w:hint="eastAsia"/>
                <w:color w:val="666666"/>
                <w:sz w:val="18"/>
                <w:szCs w:val="18"/>
                <w:lang w:eastAsia="ko-KR" w:bidi="ar-SA"/>
              </w:rPr>
              <w:t>1+r</w:t>
            </w:r>
            <w:proofErr w:type="spellEnd"/>
            <w:r w:rsidRPr="001C740D">
              <w:rPr>
                <w:rFonts w:ascii="HCI Poppy" w:eastAsia="휴먼명조" w:hAnsi="HCI Poppy" w:cs="굴림" w:hint="eastAsia"/>
                <w:color w:val="666666"/>
                <w:sz w:val="18"/>
                <w:szCs w:val="18"/>
                <w:lang w:eastAsia="ko-KR" w:bidi="ar-SA"/>
              </w:rPr>
              <w:t>)</w:t>
            </w:r>
            <w:r w:rsidRPr="001C740D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1C740D">
              <w:rPr>
                <w:rFonts w:ascii="HCI Poppy" w:eastAsia="휴먼명조" w:hAnsi="HCI Poppy" w:cs="굴림"/>
                <w:color w:val="666666"/>
                <w:sz w:val="18"/>
                <w:szCs w:val="18"/>
                <w:lang w:eastAsia="ko-KR" w:bidi="ar-SA"/>
              </w:rPr>
              <w:t>= 160</w:t>
            </w:r>
            <w:proofErr w:type="spellStart"/>
            <w:r w:rsidRPr="001C740D">
              <w:rPr>
                <w:rFonts w:ascii="HCI Poppy" w:eastAsia="휴먼명조" w:hAnsi="HCI Poppy" w:cs="굴림"/>
                <w:color w:val="666666"/>
                <w:sz w:val="18"/>
                <w:szCs w:val="18"/>
                <w:lang w:eastAsia="ko-KR" w:bidi="ar-SA"/>
              </w:rPr>
              <w:t>억원</w:t>
            </w:r>
            <w:proofErr w:type="spellEnd"/>
            <w:r w:rsidRPr="001C740D">
              <w:rPr>
                <w:rFonts w:ascii="HCI Poppy" w:eastAsia="휴먼명조" w:hAnsi="HCI Poppy" w:cs="굴림"/>
                <w:color w:val="666666"/>
                <w:sz w:val="18"/>
                <w:szCs w:val="18"/>
                <w:lang w:eastAsia="ko-KR" w:bidi="ar-SA"/>
              </w:rPr>
              <w:t xml:space="preserve"> + 188</w:t>
            </w:r>
            <w:proofErr w:type="spellStart"/>
            <w:r w:rsidRPr="001C740D">
              <w:rPr>
                <w:rFonts w:ascii="HCI Poppy" w:eastAsia="휴먼명조" w:hAnsi="HCI Poppy" w:cs="굴림"/>
                <w:color w:val="666666"/>
                <w:sz w:val="18"/>
                <w:szCs w:val="18"/>
                <w:lang w:eastAsia="ko-KR" w:bidi="ar-SA"/>
              </w:rPr>
              <w:t>억원</w:t>
            </w:r>
            <w:proofErr w:type="spellEnd"/>
            <w:r w:rsidRPr="001C740D">
              <w:rPr>
                <w:rFonts w:ascii="HCI Poppy" w:eastAsia="휴먼명조" w:hAnsi="HCI Poppy" w:cs="굴림"/>
                <w:color w:val="666666"/>
                <w:sz w:val="18"/>
                <w:szCs w:val="18"/>
                <w:lang w:eastAsia="ko-KR" w:bidi="ar-SA"/>
              </w:rPr>
              <w:t>(</w:t>
            </w:r>
            <w:proofErr w:type="spellStart"/>
            <w:r w:rsidRPr="001C740D">
              <w:rPr>
                <w:rFonts w:ascii="HCI Poppy" w:eastAsia="휴먼명조" w:hAnsi="HCI Poppy" w:cs="굴림"/>
                <w:color w:val="666666"/>
                <w:sz w:val="18"/>
                <w:szCs w:val="18"/>
                <w:lang w:eastAsia="ko-KR" w:bidi="ar-SA"/>
              </w:rPr>
              <w:t>1+r</w:t>
            </w:r>
            <w:proofErr w:type="spellEnd"/>
            <w:r w:rsidRPr="001C740D">
              <w:rPr>
                <w:rFonts w:ascii="HCI Poppy" w:eastAsia="휴먼명조" w:hAnsi="HCI Poppy" w:cs="굴림"/>
                <w:color w:val="666666"/>
                <w:sz w:val="18"/>
                <w:szCs w:val="18"/>
                <w:lang w:eastAsia="ko-KR" w:bidi="ar-SA"/>
              </w:rPr>
              <w:t>)</w:t>
            </w:r>
          </w:p>
          <w:p w:rsidR="001C740D" w:rsidRPr="001C740D" w:rsidRDefault="001C740D" w:rsidP="001C740D">
            <w:pPr>
              <w:spacing w:before="100" w:beforeAutospacing="1" w:after="100" w:afterAutospacing="1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1C740D">
              <w:rPr>
                <w:rFonts w:ascii="HCI Poppy" w:eastAsia="휴먼명조" w:hAnsi="HCI Poppy" w:cs="굴림" w:hint="eastAsia"/>
                <w:color w:val="666666"/>
                <w:sz w:val="18"/>
                <w:szCs w:val="18"/>
                <w:lang w:eastAsia="ko-KR" w:bidi="ar-SA"/>
              </w:rPr>
              <w:t>•</w:t>
            </w:r>
            <w:r w:rsidRPr="001C740D">
              <w:rPr>
                <w:rFonts w:ascii="HCI Poppy" w:eastAsia="휴먼명조" w:hAnsi="HCI Poppy" w:cs="굴림" w:hint="eastAsia"/>
                <w:color w:val="666666"/>
                <w:sz w:val="18"/>
                <w:szCs w:val="18"/>
                <w:lang w:eastAsia="ko-KR" w:bidi="ar-SA"/>
              </w:rPr>
              <w:t xml:space="preserve"> r = </w:t>
            </w:r>
            <w:r w:rsidRPr="001C740D">
              <w:rPr>
                <w:rFonts w:ascii="HCI Poppy" w:eastAsia="휴먼명조" w:hAnsi="HCI Poppy" w:cs="굴림" w:hint="eastAsia"/>
                <w:color w:val="666666"/>
                <w:sz w:val="18"/>
                <w:szCs w:val="18"/>
                <w:lang w:eastAsia="ko-KR" w:bidi="ar-SA"/>
              </w:rPr>
              <w:t>평균</w:t>
            </w:r>
            <w:r w:rsidRPr="001C740D">
              <w:rPr>
                <w:rFonts w:ascii="HCI Poppy" w:eastAsia="휴먼명조" w:hAnsi="HCI Poppy" w:cs="굴림" w:hint="eastAsia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1C740D">
              <w:rPr>
                <w:rFonts w:ascii="HCI Poppy" w:eastAsia="휴먼명조" w:hAnsi="HCI Poppy" w:cs="굴림" w:hint="eastAsia"/>
                <w:color w:val="666666"/>
                <w:sz w:val="18"/>
                <w:szCs w:val="18"/>
                <w:lang w:eastAsia="ko-KR" w:bidi="ar-SA"/>
              </w:rPr>
              <w:t>물가상승률</w:t>
            </w:r>
            <w:proofErr w:type="spellEnd"/>
          </w:p>
        </w:tc>
      </w:tr>
    </w:tbl>
    <w:p w:rsidR="001C740D" w:rsidRPr="001C740D" w:rsidRDefault="001C740D" w:rsidP="001C740D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lastRenderedPageBreak/>
        <w:t>여기에서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지난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10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년간의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물가상승률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평균값을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구하면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약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3%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되는데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앞으로도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매년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평균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3%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씩의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물가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상승이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일어난다고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했을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때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2010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년을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기점으로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34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후인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2044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년의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물가는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약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2.73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배가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된다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즉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2010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년에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100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원이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갖는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가치는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물가가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2.73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배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상승한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2044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년에는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약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37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가량이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되는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것이다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</w:t>
      </w:r>
    </w:p>
    <w:p w:rsidR="001C740D" w:rsidRPr="001C740D" w:rsidRDefault="001C740D" w:rsidP="001C740D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다음으로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34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뒤의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종단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총예산을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구해보자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 2044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예산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총액은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약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673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억원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(160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억원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+188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억원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×2.73)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수준이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것이라고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예측해볼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그렇다면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673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억원의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실질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가치를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보면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, 2044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년의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종단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예산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총액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673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억원을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2010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시점으로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환산하면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금액은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약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247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억원이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된다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당초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2010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예산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348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억원의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71%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수준으로서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실제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가치를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따지자면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100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억원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가량이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오히려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감소한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격이라고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말할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결국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미래의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예산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변동과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물가상승을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예측해본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결과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종단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재정이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증가하는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속도보다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물가상승률이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높은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34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년의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시간이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지난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2044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년이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되면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명목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예산은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현재의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2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배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가까이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늘어남에도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불구하고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실질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예산은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줄어들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예상된다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</w:t>
      </w:r>
    </w:p>
    <w:p w:rsidR="001C740D" w:rsidRPr="001C740D" w:rsidRDefault="001C740D" w:rsidP="001C740D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실질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가용재원</w:t>
      </w:r>
      <w:proofErr w:type="spellEnd"/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감소로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인한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사업여건의</w:t>
      </w:r>
      <w:proofErr w:type="spellEnd"/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축소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및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사찰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간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양극화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심화</w:t>
      </w:r>
    </w:p>
    <w:p w:rsidR="001C740D" w:rsidRPr="001C740D" w:rsidRDefault="001C740D" w:rsidP="001C740D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세입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예산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중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분담금수입을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제외한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나머지수입이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매년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물가상승률만큼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증가한다면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즉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종단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수익사업이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운영되어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앞으로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크게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성장한다면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따른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세수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증대도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기대할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것이다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그러나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일반회계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세입의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4%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불과한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사업수입이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향후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빠른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성장세를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보일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확률은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지금으로서는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낮아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보인다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</w:t>
      </w:r>
    </w:p>
    <w:p w:rsidR="001C740D" w:rsidRPr="001C740D" w:rsidRDefault="001C740D" w:rsidP="001C740D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결국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현재의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세입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구조가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그대로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유지된다면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gram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2044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경에는</w:t>
      </w:r>
      <w:proofErr w:type="gram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조계종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중앙종단의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재정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운용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범위가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대폭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축소될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것으로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보인다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인력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운영비를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포함한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필수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고정경비는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최소한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물가상승률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이상으로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증가할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것이며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따라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자체사업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여건은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자연히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줄어들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수밖에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없는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것이다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또한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이처럼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중앙종단의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재정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운용폭이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축소되면서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중앙의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지원을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기대하기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어려운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각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단위사찰은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스스로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자구책을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마련해야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하는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상황에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놓이게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것이고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과정에서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신도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및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재가불자의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후원</w:t>
      </w:r>
      <w:proofErr w:type="gram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?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참여로</w:t>
      </w:r>
      <w:proofErr w:type="gram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자체재정을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꾸릴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능력이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사찰과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그렇지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않은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사찰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간에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극심한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양극화가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발생할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있다는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점이다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</w:t>
      </w:r>
    </w:p>
    <w:p w:rsidR="001C740D" w:rsidRPr="001C740D" w:rsidRDefault="001C740D" w:rsidP="001C740D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 </w:t>
      </w:r>
    </w:p>
    <w:p w:rsidR="001C740D" w:rsidRPr="001C740D" w:rsidRDefault="001C740D" w:rsidP="001C740D">
      <w:pPr>
        <w:spacing w:before="100" w:beforeAutospacing="1" w:after="100" w:afterAutospacing="1" w:line="300" w:lineRule="atLeast"/>
        <w:jc w:val="center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4. 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정체된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종무행정시스템</w:t>
      </w:r>
      <w:proofErr w:type="spellEnd"/>
    </w:p>
    <w:p w:rsidR="001C740D" w:rsidRPr="001C740D" w:rsidRDefault="001C740D" w:rsidP="001C740D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-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종단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정보화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기술은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웹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1.0 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수준에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머물러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있다</w:t>
      </w:r>
    </w:p>
    <w:p w:rsidR="001C740D" w:rsidRPr="001C740D" w:rsidRDefault="001C740D" w:rsidP="001C740D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종단의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정보화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사업은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1996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년의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중앙종무기관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근거리통신망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(LAN)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구축을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기점으로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1997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년에는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종무행정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표준화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작업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및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전산화에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착수하여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이듬해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10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여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중앙종무프로그램을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제작하고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지방종무행정프로그램인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‘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가람지기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’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개발</w:t>
      </w:r>
      <w:proofErr w:type="gram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?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보급</w:t>
      </w:r>
      <w:proofErr w:type="gram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그리고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중앙종단과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지역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각급사찰의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인터넷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홈페이지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개설에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이르렀다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그러나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2000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년대에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들어선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후로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답보상태를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유지하고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프로그램의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개선</w:t>
      </w:r>
      <w:proofErr w:type="gram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?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보완</w:t>
      </w:r>
      <w:proofErr w:type="gram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등이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이루어지지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못하여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개발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초기의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형태를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벗어나지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못하고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웹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기술의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발전단계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상으로는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대체로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웹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1.0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단계에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해당한다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</w:t>
      </w:r>
    </w:p>
    <w:p w:rsidR="001C740D" w:rsidRPr="001C740D" w:rsidRDefault="001C740D" w:rsidP="001C740D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-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주류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정보통신환경과</w:t>
      </w:r>
      <w:proofErr w:type="spellEnd"/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종단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사이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격차는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10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년</w:t>
      </w:r>
    </w:p>
    <w:p w:rsidR="001C740D" w:rsidRPr="001C740D" w:rsidRDefault="001C740D" w:rsidP="001C740D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여기서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웹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1.0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웹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2.0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유행하기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이전인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1990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년대의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월드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와이드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웹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상태를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일컫는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용어이다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웹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1.0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기본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개념은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디렉토리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검색으로서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사용자들은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해당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카테고리를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통해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웹사이트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운영자가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체계적으로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분류해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제공하는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자료를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검색할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일방향성과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폐쇄성을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특징으로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하게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된다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</w:t>
      </w:r>
    </w:p>
    <w:p w:rsidR="001C740D" w:rsidRPr="001C740D" w:rsidRDefault="001C740D" w:rsidP="001C740D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비해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웹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2.0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에서는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사용자가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직접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데이터를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다룰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있도록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데이터를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제공하는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플랫폼이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정보를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쉽게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공유하고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서비스를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받을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있게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만들어지게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된다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결국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웹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2.0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기반의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인터넷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환경은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정보의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lastRenderedPageBreak/>
        <w:t>소유자나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독점자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없이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누구나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손쉽게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정보를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생산하고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공유할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사용자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참여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중심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시스템이다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그리고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2011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바로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지금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정보통신환경을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대표하는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웹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2.0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과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조계종단의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정보화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수준인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웹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1.0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사이에는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10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년이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넘는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물리적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시간의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격차는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물론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기술적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·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문화적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·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세대적인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격차가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존재하고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</w:t>
      </w:r>
    </w:p>
    <w:p w:rsidR="001C740D" w:rsidRPr="001C740D" w:rsidRDefault="001C740D" w:rsidP="001C740D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-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시대에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뒤처진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행정시스템이</w:t>
      </w:r>
      <w:proofErr w:type="spellEnd"/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종단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노후화를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부추긴다</w:t>
      </w:r>
    </w:p>
    <w:p w:rsidR="001C740D" w:rsidRPr="001C740D" w:rsidRDefault="001C740D" w:rsidP="001C740D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물론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미래의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종단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정보화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기술이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웹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1.0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단계에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그대로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머물러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있으리라고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볼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없다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정보통신환경의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대세에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따라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사용자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참여시스템이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자리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잡고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모바일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기술도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도입되는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등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점차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웹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2.0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환경으로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옮겨갈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것이다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</w:t>
      </w:r>
    </w:p>
    <w:p w:rsidR="001C740D" w:rsidRPr="001C740D" w:rsidRDefault="001C740D" w:rsidP="001C740D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웹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기술의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발전은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기존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기술들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간의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결합을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통해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이루어지므로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시간이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흐름에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따라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발전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속도가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더욱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가속화된다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따라서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종무행정시스템의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기술적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성숙을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위한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특단의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조치나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노력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없이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종단이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현재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상황에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안주한다면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, 10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넘게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뒤져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주류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정보통신환경과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종단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사이의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기술적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거리는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점점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멀어질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것이며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지금으로부터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30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여년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후인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gram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2044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경에는</w:t>
      </w:r>
      <w:proofErr w:type="gram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격차가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웹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기술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상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세대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이상까지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벌어질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가능성도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충분하다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</w:t>
      </w:r>
    </w:p>
    <w:p w:rsidR="001C740D" w:rsidRPr="001C740D" w:rsidRDefault="001C740D" w:rsidP="001C740D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단순히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행정시스템의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후진성에서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끝나지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않는다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종무시스템이란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궁극적으로는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종단의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행정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처리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체계라는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차원을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넘어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각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교구와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사찰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승가와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재가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등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모든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종단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구성원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간의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소통구조로서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기능하게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되는데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구세대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기술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표준에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멈춰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소통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방식으로는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청년층을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새로운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구성원으로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끌어들이기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어려워지는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것이다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신제품이나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신기술을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가장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먼저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수용하고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향유하는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계층인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20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안팎의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젊은이들에게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세대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이상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뒤진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기술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소통구조를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가진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조계종은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전혀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매력적으로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다가가지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못할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것이며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청년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신도의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유입이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끊긴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채로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30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여년이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흐른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우리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종단은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심각한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인력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부족</w:t>
      </w:r>
      <w:proofErr w:type="gram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?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노화</w:t>
      </w:r>
      <w:proofErr w:type="gram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현상에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시달리는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집단으로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점차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쇠퇴해갈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예상된다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</w:t>
      </w:r>
    </w:p>
    <w:p w:rsidR="001C740D" w:rsidRPr="001C740D" w:rsidRDefault="001C740D" w:rsidP="001C740D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 </w:t>
      </w:r>
    </w:p>
    <w:p w:rsidR="001C740D" w:rsidRPr="001C740D" w:rsidRDefault="001C740D" w:rsidP="001C740D">
      <w:pPr>
        <w:spacing w:before="100" w:beforeAutospacing="1" w:after="100" w:afterAutospacing="1" w:line="300" w:lineRule="atLeast"/>
        <w:jc w:val="center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5. 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종단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조직구조의</w:t>
      </w:r>
      <w:proofErr w:type="spellEnd"/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변화</w:t>
      </w:r>
    </w:p>
    <w:p w:rsidR="001C740D" w:rsidRPr="001C740D" w:rsidRDefault="001C740D" w:rsidP="001C740D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-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종단의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조직구조는</w:t>
      </w:r>
      <w:proofErr w:type="spellEnd"/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시대적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요청을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반영하면서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변해왔다</w:t>
      </w:r>
      <w:proofErr w:type="spellEnd"/>
    </w:p>
    <w:p w:rsidR="001C740D" w:rsidRPr="001C740D" w:rsidRDefault="001C740D" w:rsidP="001C740D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조계종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중앙종무기관의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시초는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1910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년대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30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본산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연합사무소로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출발한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종단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조직은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1929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종헌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제정과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함께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기초적인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3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권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분립의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모습을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띠게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되었고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종정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중심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형태와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총무원장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중심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형태를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오가면서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권한을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단계적으로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확대해왔다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그리고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1994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년에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있었던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종단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개혁체제를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통해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교구자치의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시대가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열리고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조계종단의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중앙조직은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마침내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오늘날과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같은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구조를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갖추기에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이르렀다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</w:t>
      </w:r>
    </w:p>
    <w:p w:rsidR="001C740D" w:rsidRPr="001C740D" w:rsidRDefault="001C740D" w:rsidP="001C740D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과거에서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현재까지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근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백년간의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종단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중앙조직구조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변천은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흐름을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거시적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관점에서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바라보았을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때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짚어낼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어떤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변화의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방향성은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존재하니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그것은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바로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입법</w:t>
      </w:r>
      <w:proofErr w:type="gram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?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행정</w:t>
      </w:r>
      <w:proofErr w:type="gram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?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사법의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분권화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및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견제체계의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확립이다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현대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국가제도의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발전방향과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궤를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같이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하는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것으로서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집단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구성원들의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의사를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최대한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조화롭게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통합하는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합리적인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제도에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대한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시대적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요청이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자연스럽게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반영된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것이라고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하겠다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결국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종단개혁으로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확립된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현재의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중앙조직구조도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30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여년이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지난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후에는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다시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변화를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맞이하게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것이다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또한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변화는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장기적으로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종단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구성원들의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요구를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수렴하는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방향으로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진행될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것이라고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예측이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가능하다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</w:t>
      </w:r>
    </w:p>
    <w:p w:rsidR="001C740D" w:rsidRPr="001C740D" w:rsidRDefault="001C740D" w:rsidP="001C740D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-</w:t>
      </w:r>
      <w:proofErr w:type="spellStart"/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중앙종회의</w:t>
      </w:r>
      <w:proofErr w:type="spellEnd"/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의석수는</w:t>
      </w:r>
      <w:proofErr w:type="spellEnd"/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100</w:t>
      </w:r>
      <w:proofErr w:type="spellStart"/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여석까지</w:t>
      </w:r>
      <w:proofErr w:type="spellEnd"/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늘어날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것이며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, </w:t>
      </w:r>
      <w:proofErr w:type="spellStart"/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종회의원의</w:t>
      </w:r>
      <w:proofErr w:type="spellEnd"/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특권이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축소되고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, </w:t>
      </w:r>
      <w:proofErr w:type="spellStart"/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재가전문가의</w:t>
      </w:r>
      <w:proofErr w:type="spellEnd"/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참여가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이루어질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것이다</w:t>
      </w:r>
    </w:p>
    <w:p w:rsidR="001C740D" w:rsidRPr="001C740D" w:rsidRDefault="001C740D" w:rsidP="001C740D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lastRenderedPageBreak/>
        <w:t>종단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중앙조직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가운데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제도의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변화에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대한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논의가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가장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활발한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부문으로는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중앙종회를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꼽을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것이다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우선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현재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중앙종회의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교구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의석수는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51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석으로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직할교구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4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석과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12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교구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3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석을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제외한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나머지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교구에는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일괄적으로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2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석이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배정되어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그러나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재적승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비례에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맞지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않아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참정권과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대의제의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일반원칙에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벗어난다는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주장이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꾸준히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제기되어왔으며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법규위원회에서도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이미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의원정수를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합리적으로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조정해야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한다는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결정이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내려진바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부분에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대한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조정이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머지않은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장래에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확실시된다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따라서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1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석당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평균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재적승수를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기준으로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각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교구별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적정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선거인단수를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결정하되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초과되는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인원에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대해서는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일정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비율을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적용해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의석수를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가산하는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방식이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적용될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경우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교구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의석수는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51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석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대비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10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석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이상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늘어나게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것이다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</w:t>
      </w:r>
    </w:p>
    <w:p w:rsidR="001C740D" w:rsidRPr="001C740D" w:rsidRDefault="001C740D" w:rsidP="001C740D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또한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종회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비구니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대표로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배정된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10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석이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과연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적절한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수인가에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대한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문제를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생각하지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아니할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없는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향후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가지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상황으로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전개될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첫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번째로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만약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이부승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간의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참정권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보장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격차를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바로잡아야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한다는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여론이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종단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내에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형성된다면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결국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종회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비구니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대표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의석수는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확대될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것이다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그리고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번째로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상태가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그대로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유지된다면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양성평등의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후진성을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면하지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못하는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종단에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외부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사회의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비판과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변화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압력이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가해지게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것이며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그러한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논쟁의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결과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중앙종회의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비구니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의석수는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현재의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2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배까지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확대되는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방안이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구체화될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것이다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결국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중앙종회의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총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의석수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81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석은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지금으로부터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30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뒤에는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최대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100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여석으로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늘어날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것이라는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예측해봄직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하다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</w:t>
      </w:r>
    </w:p>
    <w:p w:rsidR="001C740D" w:rsidRPr="001C740D" w:rsidRDefault="001C740D" w:rsidP="001C740D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덧붙여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종회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분과위원회별로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재가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전문가들의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자문위원단이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설치</w:t>
      </w:r>
      <w:proofErr w:type="gram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?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강화될</w:t>
      </w:r>
      <w:proofErr w:type="gram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것이며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최근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강력한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시정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요구를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받고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종회의원의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불징계권은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조만간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사실상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폐지의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수순을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밟아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회기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중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불체포특권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정도로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권한이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축소될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가능성이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높다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</w:t>
      </w:r>
    </w:p>
    <w:p w:rsidR="001C740D" w:rsidRPr="001C740D" w:rsidRDefault="001C740D" w:rsidP="001C740D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-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집행부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3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원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체제는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총무원</w:t>
      </w:r>
      <w:proofErr w:type="spellEnd"/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단일체제로</w:t>
      </w:r>
      <w:proofErr w:type="spellEnd"/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일원화된다</w:t>
      </w:r>
    </w:p>
    <w:p w:rsidR="001C740D" w:rsidRPr="001C740D" w:rsidRDefault="001C740D" w:rsidP="001C740D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종단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조직구조에서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입법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부문에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변화가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예견되는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다른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부문은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행정이다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현재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조계종단의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중앙집행부는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총무원과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포교원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교육원의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3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체제로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운영되고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있는데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종무행정의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당연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분야인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포교와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교육이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총무원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소관에서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분리됨으로써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발생하는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예산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편성과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집행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주체의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불일치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또한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거기서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기인하는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조직의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분산화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및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비효율성은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꾸준한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지적을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받아왔다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통합과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역량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강화에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가치를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두고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행정부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조직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개편이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이루어진다면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앞으로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30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여년이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흐른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뒤에는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지금의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포교원과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교육원은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흡수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통합되어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총무원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산하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부처로서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기능을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하게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것이다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</w:t>
      </w:r>
    </w:p>
    <w:p w:rsidR="001C740D" w:rsidRPr="001C740D" w:rsidRDefault="001C740D" w:rsidP="001C740D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한편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총무원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행정조직과는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별도로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특수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목적조직이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다수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설립될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예상된다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종단에서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기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운영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중인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조계종사회복지재단이나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(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재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)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아름다운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동행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불교문화사업단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승려복지회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등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이외에도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종단의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관심사업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분야를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전담하는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조직에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대한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필요성이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추가로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논의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중이다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특히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수익사업은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종단의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규모가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커지면서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각종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목적사업으로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인한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필요재원의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규모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역시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커지고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대한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방안을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모색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중에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그러므로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종단은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재정확보의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방편으로서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장차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수익사업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조직을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별도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법인으로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설립</w:t>
      </w:r>
      <w:proofErr w:type="gram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?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운영할</w:t>
      </w:r>
      <w:proofErr w:type="gram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것으로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예상된다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</w:t>
      </w:r>
    </w:p>
    <w:p w:rsidR="001C740D" w:rsidRPr="001C740D" w:rsidRDefault="001C740D" w:rsidP="001C740D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-</w:t>
      </w:r>
      <w:proofErr w:type="spellStart"/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사법기능은</w:t>
      </w:r>
      <w:proofErr w:type="spellEnd"/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전반적으로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강화될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것이다</w:t>
      </w:r>
    </w:p>
    <w:p w:rsidR="001C740D" w:rsidRPr="001C740D" w:rsidRDefault="001C740D" w:rsidP="001C740D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다음으로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종단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사법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부문에서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일어날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변화로는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먼저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호계원의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3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심제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도입과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판례기속원칙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확립을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종단의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사법기관은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역할을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수행함에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형평의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원칙과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처벌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기준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명확성에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위배되는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경우가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많아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때때로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문제가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제기되었으며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종무기관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간에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견제</w:t>
      </w:r>
      <w:proofErr w:type="gram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?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균형의</w:t>
      </w:r>
      <w:proofErr w:type="gram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원리와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종단의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자정기능을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담보하기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위한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제도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개선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및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사법기능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강화에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대한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논의도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지속적으로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있어왔다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따라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향후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호계원의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심급제도는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초심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-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재심의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상위에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법률심으로서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3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심을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두고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형평성강화를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위한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판례기속원칙이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확립될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방향으로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제도개선이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이루어지게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것이다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</w:t>
      </w:r>
    </w:p>
    <w:p w:rsidR="001C740D" w:rsidRPr="001C740D" w:rsidRDefault="001C740D" w:rsidP="001C740D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lastRenderedPageBreak/>
        <w:t>그리고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종단의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사법기관과는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별개로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종정기관에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속하는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법규위원회의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경우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위헌종법심사와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행정처분의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종헌</w:t>
      </w:r>
      <w:proofErr w:type="gram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?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종법</w:t>
      </w:r>
      <w:proofErr w:type="gram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위배여부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심판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종무기관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권한쟁의심판이라는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현재의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기능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외에도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사부대중의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권익보호강화를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위한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종헌소원심사청구권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등이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새롭게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부여되며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절차상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전문성담보를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위한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재가전문가가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이루어질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것이다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</w:t>
      </w:r>
    </w:p>
    <w:p w:rsidR="001C740D" w:rsidRPr="001C740D" w:rsidRDefault="001C740D" w:rsidP="001C740D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-</w:t>
      </w:r>
      <w:proofErr w:type="spellStart"/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교구자치의</w:t>
      </w:r>
      <w:proofErr w:type="spellEnd"/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범위가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보다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확대된다</w:t>
      </w:r>
    </w:p>
    <w:p w:rsidR="001C740D" w:rsidRPr="001C740D" w:rsidRDefault="001C740D" w:rsidP="001C740D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종단의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교구자치제도는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1994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종단개혁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성립해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대체로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발전의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궤적을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따라왔으며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현재에도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교구법이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입안되는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등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교구자치에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관한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논의가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활발히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진행되고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이러한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논의들을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모두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종합하면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결론적으로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미래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교구제도의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재편은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교구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관할권의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확립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교구행정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전담기구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마련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교구인사위원회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설치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지역거점전략사찰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선정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교구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차원의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독립적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사업조직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등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교구행정기능의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강화로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귀결될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것이다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</w:t>
      </w:r>
    </w:p>
    <w:p w:rsidR="001C740D" w:rsidRPr="001C740D" w:rsidRDefault="001C740D" w:rsidP="001C740D">
      <w:pPr>
        <w:spacing w:before="100" w:beforeAutospacing="1" w:after="100" w:afterAutospacing="1" w:line="300" w:lineRule="atLeast"/>
        <w:jc w:val="center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 </w:t>
      </w:r>
    </w:p>
    <w:p w:rsidR="001C740D" w:rsidRPr="001C740D" w:rsidRDefault="001C740D" w:rsidP="001C740D">
      <w:pPr>
        <w:spacing w:before="100" w:beforeAutospacing="1" w:after="100" w:afterAutospacing="1" w:line="300" w:lineRule="atLeast"/>
        <w:jc w:val="center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6. 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사원의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역할</w:t>
      </w:r>
    </w:p>
    <w:p w:rsidR="001C740D" w:rsidRPr="001C740D" w:rsidRDefault="001C740D" w:rsidP="001C740D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-30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년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후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사찰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, </w:t>
      </w:r>
      <w:proofErr w:type="spellStart"/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전통문화</w:t>
      </w:r>
      <w:proofErr w:type="spellEnd"/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시현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(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示現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)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과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명상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수련의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장으로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변해</w:t>
      </w:r>
    </w:p>
    <w:p w:rsidR="001C740D" w:rsidRPr="001C740D" w:rsidRDefault="001C740D" w:rsidP="001C740D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문명의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발달과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도시의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팽창으로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불교와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유교에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기반한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전통문화가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사라지고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시대적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추세를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감안한다면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앞으로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30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여년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뒤에는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설이나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추석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등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일부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세시풍속을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제외한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음력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중심의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대다수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전통의례는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상당수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사라질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것으로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판단된다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따라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일반적으로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집에서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진행하는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각종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제사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역시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급격히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줄어들어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합동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제사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(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천도의식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)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같은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형식을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통해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사찰이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역할을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대행하는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경우가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일반화될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것으로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보인다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또한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대부분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사찰에서는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제사뿐만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아니라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납골당을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운영하는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형태를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갖춤으로서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우리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사회의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장묘시설과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장례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문화를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담당하는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기능이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대폭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확대될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전망이다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</w:t>
      </w:r>
    </w:p>
    <w:p w:rsidR="001C740D" w:rsidRPr="001C740D" w:rsidRDefault="001C740D" w:rsidP="001C740D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한편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앞으로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우리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사회의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중요한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문화적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특징으로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나타날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명상의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대중화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’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를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이끌어갈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주체로서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사찰의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기능과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역할이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커질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것으로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보인다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현대문명이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고도로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발달하면서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정신적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귀의처를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찾는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현대인은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날이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갈수록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늘어나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오늘날의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서구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사회가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보여주듯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30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여년이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지난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이후에는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우리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사회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저변에도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수련기간이나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프로그램이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특화된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다양한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방식의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명상이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광범위하게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확산될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것이다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</w:t>
      </w:r>
    </w:p>
    <w:p w:rsidR="001C740D" w:rsidRPr="001C740D" w:rsidRDefault="001C740D" w:rsidP="001C740D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-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사찰은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통폐합되고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음력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중심의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법회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문화가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사라진다</w:t>
      </w:r>
    </w:p>
    <w:p w:rsidR="001C740D" w:rsidRPr="001C740D" w:rsidRDefault="001C740D" w:rsidP="001C740D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앞서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본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미래예측의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번째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단락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“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노쇠해지는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조계종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”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통해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살펴보았듯이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출가율의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급감과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본격적인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고령사회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(Aged Society)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진입으로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인해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gram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2044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경</w:t>
      </w:r>
      <w:proofErr w:type="gram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종단의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고령인구는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현재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고령인구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(12.3%)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세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배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가량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(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약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37%)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으로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높아질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전망이다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출가율은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떨어지지만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고령화로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인해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전체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승려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인구는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늘어날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것이며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사찰을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관리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운영할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세대가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점차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사라진다는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점을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의미한다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</w:t>
      </w:r>
    </w:p>
    <w:p w:rsidR="001C740D" w:rsidRPr="001C740D" w:rsidRDefault="001C740D" w:rsidP="001C740D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지금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현재의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추세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상으로는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사찰의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계속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늘어날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것이나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현실적으로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역시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일정한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시점이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되면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사설사암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위주로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줄어들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것으로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보여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향후에는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인구가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밀집한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수도권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및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대도시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주변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지역을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제외한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곳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특히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농촌에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위치한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사찰의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공동화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현상이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심각하게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일어날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것으로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보인다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도농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사찰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인수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합병으로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이어지고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결과적으로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농촌의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사찰들은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수행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공간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및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전통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체험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시설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등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도시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사찰의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부수적인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기능을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수행하는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역할을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담당할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가능성이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높다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</w:t>
      </w:r>
    </w:p>
    <w:p w:rsidR="001C740D" w:rsidRPr="001C740D" w:rsidRDefault="001C740D" w:rsidP="001C740D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같은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과정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속에서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사찰의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전통적인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법회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문화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또한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변화를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맞이하게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것인데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구체적으로는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초하루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관음재일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지장재일과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같은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음력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중심의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법회가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사라지고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각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가정에서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맞벌이가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지금보다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일반화되고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사찰의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기능도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기복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형태에서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명상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등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정신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휴식처로서의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역할로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바뀌어가면서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대중들이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참여할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양력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중심의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법회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문화가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활성화될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것이다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</w:t>
      </w:r>
    </w:p>
    <w:p w:rsidR="001C740D" w:rsidRPr="001C740D" w:rsidRDefault="001C740D" w:rsidP="001C740D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lastRenderedPageBreak/>
        <w:t>-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사찰의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조직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체계가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변화하면서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서비스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기능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위주가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된다</w:t>
      </w:r>
    </w:p>
    <w:p w:rsidR="001C740D" w:rsidRPr="001C740D" w:rsidRDefault="001C740D" w:rsidP="001C740D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명상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수련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봉사활동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상조업무를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위시한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서비스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기능으로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사찰의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역할이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옮겨가면서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총무</w:t>
      </w:r>
      <w:proofErr w:type="gram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?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기획</w:t>
      </w:r>
      <w:proofErr w:type="gram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?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교무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?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재무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?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포교와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같은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현재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사찰의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근간을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이루는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조직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체계는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국가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행정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체계와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일치하는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방향으로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전환되면서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대도시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중심으로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교구제도가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재편되고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도시의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규모에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따라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교구가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분화하는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시스템이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정착되고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각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지역별로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과거의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사암연합회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형태가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해체되어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조계종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지역연합회가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일반화될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것이다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</w:t>
      </w:r>
    </w:p>
    <w:p w:rsidR="001C740D" w:rsidRPr="001C740D" w:rsidRDefault="001C740D" w:rsidP="001C740D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-</w:t>
      </w:r>
      <w:proofErr w:type="spellStart"/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종교권력과</w:t>
      </w:r>
      <w:proofErr w:type="spellEnd"/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종교인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(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승려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)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의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자질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문제가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사회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이슈로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b/>
          <w:bCs/>
          <w:color w:val="666666"/>
          <w:sz w:val="18"/>
          <w:lang w:eastAsia="ko-KR" w:bidi="ar-SA"/>
        </w:rPr>
        <w:t>부각된다</w:t>
      </w:r>
    </w:p>
    <w:p w:rsidR="001C740D" w:rsidRPr="001C740D" w:rsidRDefault="001C740D" w:rsidP="001C740D">
      <w:pPr>
        <w:spacing w:before="100" w:beforeAutospacing="1" w:after="100" w:afterAutospacing="1" w:line="300" w:lineRule="atLeast"/>
        <w:jc w:val="left"/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</w:pP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본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미래예측에서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마지막으로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짚어볼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기타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부문은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종교와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사회의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관계이다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지금보다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훨씬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심각한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사회적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양극화로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인해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종교를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직업적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수단으로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이용하는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현상이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두드러지게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나타나면서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종교인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그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중에서도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승려들에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대한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소양과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자질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문제가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사회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이슈로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계속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등장할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가능성이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대단히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높다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미래학자들의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다양한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의견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가운데서도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'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토플러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협회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(Toffler Associates)'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소속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미래학자들은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앞으로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30~40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년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내에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일어날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주요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사회현상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중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하나로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proofErr w:type="spellStart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여성지도자의</w:t>
      </w:r>
      <w:proofErr w:type="spellEnd"/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괄목할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증가와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종교계의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정치적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영향력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확대를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꼽은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바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있다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.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현재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우리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사회의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추세로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볼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때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이러한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미래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현상은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필연적인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과정으로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나타날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것이며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,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특히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종교인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가운데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승려의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권력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지향적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행위와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자질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하락에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따른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사회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문제가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빈번하게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발생할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여지가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매우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크다고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 xml:space="preserve"> 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하겠다</w:t>
      </w:r>
      <w:r w:rsidRPr="001C740D">
        <w:rPr>
          <w:rFonts w:ascii="Verdana" w:eastAsia="굴림" w:hAnsi="Verdana" w:cs="굴림"/>
          <w:color w:val="666666"/>
          <w:sz w:val="18"/>
          <w:szCs w:val="18"/>
          <w:lang w:eastAsia="ko-KR" w:bidi="ar-SA"/>
        </w:rPr>
        <w:t>.</w:t>
      </w:r>
    </w:p>
    <w:p w:rsidR="00DD55E9" w:rsidRDefault="00DD55E9">
      <w:pPr>
        <w:rPr>
          <w:rFonts w:hint="eastAsia"/>
          <w:lang w:eastAsia="ko-KR"/>
        </w:rPr>
      </w:pPr>
    </w:p>
    <w:p w:rsidR="001C740D" w:rsidRDefault="001C740D">
      <w:pPr>
        <w:rPr>
          <w:lang w:eastAsia="ko-KR"/>
        </w:rPr>
      </w:pPr>
      <w:r>
        <w:rPr>
          <w:lang w:eastAsia="ko-KR"/>
        </w:rPr>
        <w:br w:type="page"/>
      </w:r>
    </w:p>
    <w:p w:rsidR="001C740D" w:rsidRDefault="001C740D">
      <w:pPr>
        <w:rPr>
          <w:lang w:eastAsia="ko-KR"/>
        </w:rPr>
      </w:pPr>
      <w:proofErr w:type="spellStart"/>
      <w:r w:rsidRPr="001C740D">
        <w:rPr>
          <w:lang w:eastAsia="ko-KR"/>
        </w:rPr>
        <w:lastRenderedPageBreak/>
        <w:t>http://www.bulgyofocus.net/news/articleView.html?idxno=64817</w:t>
      </w:r>
      <w:proofErr w:type="spellEnd"/>
    </w:p>
    <w:sectPr w:rsidR="001C740D" w:rsidSect="00DD55E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HCI Popp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휴먼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1C740D"/>
    <w:rsid w:val="00003ABC"/>
    <w:rsid w:val="00022F35"/>
    <w:rsid w:val="00026461"/>
    <w:rsid w:val="00027ABF"/>
    <w:rsid w:val="00037A4D"/>
    <w:rsid w:val="00040BFC"/>
    <w:rsid w:val="00042145"/>
    <w:rsid w:val="00053957"/>
    <w:rsid w:val="0005435D"/>
    <w:rsid w:val="000574F7"/>
    <w:rsid w:val="00067F30"/>
    <w:rsid w:val="00073879"/>
    <w:rsid w:val="00095ED2"/>
    <w:rsid w:val="000967DB"/>
    <w:rsid w:val="000B0EFE"/>
    <w:rsid w:val="000D5AF7"/>
    <w:rsid w:val="000E148E"/>
    <w:rsid w:val="000E429B"/>
    <w:rsid w:val="000E71AB"/>
    <w:rsid w:val="000F23AA"/>
    <w:rsid w:val="000F7491"/>
    <w:rsid w:val="0010007B"/>
    <w:rsid w:val="001076EF"/>
    <w:rsid w:val="00123076"/>
    <w:rsid w:val="001301D4"/>
    <w:rsid w:val="00142A24"/>
    <w:rsid w:val="001554A1"/>
    <w:rsid w:val="001566A6"/>
    <w:rsid w:val="00190584"/>
    <w:rsid w:val="001960E6"/>
    <w:rsid w:val="001A2459"/>
    <w:rsid w:val="001B11E9"/>
    <w:rsid w:val="001B6360"/>
    <w:rsid w:val="001C12D8"/>
    <w:rsid w:val="001C181E"/>
    <w:rsid w:val="001C5475"/>
    <w:rsid w:val="001C740D"/>
    <w:rsid w:val="001D000F"/>
    <w:rsid w:val="001E0421"/>
    <w:rsid w:val="001F0646"/>
    <w:rsid w:val="001F0FE2"/>
    <w:rsid w:val="001F5B49"/>
    <w:rsid w:val="001F6D3D"/>
    <w:rsid w:val="00206B07"/>
    <w:rsid w:val="00211C69"/>
    <w:rsid w:val="00235931"/>
    <w:rsid w:val="00246316"/>
    <w:rsid w:val="002477BD"/>
    <w:rsid w:val="00260ABE"/>
    <w:rsid w:val="00286AA1"/>
    <w:rsid w:val="002904D4"/>
    <w:rsid w:val="002B2E4A"/>
    <w:rsid w:val="002B59C9"/>
    <w:rsid w:val="002C25CE"/>
    <w:rsid w:val="002C5FBD"/>
    <w:rsid w:val="002D357C"/>
    <w:rsid w:val="002D6896"/>
    <w:rsid w:val="003039F4"/>
    <w:rsid w:val="00303C3D"/>
    <w:rsid w:val="003042D3"/>
    <w:rsid w:val="003136DA"/>
    <w:rsid w:val="00314EF5"/>
    <w:rsid w:val="00316EF9"/>
    <w:rsid w:val="00320001"/>
    <w:rsid w:val="00321547"/>
    <w:rsid w:val="003374FE"/>
    <w:rsid w:val="00347B09"/>
    <w:rsid w:val="003520FF"/>
    <w:rsid w:val="0035278B"/>
    <w:rsid w:val="0035337B"/>
    <w:rsid w:val="00375CA1"/>
    <w:rsid w:val="003768B8"/>
    <w:rsid w:val="00390D7D"/>
    <w:rsid w:val="00397737"/>
    <w:rsid w:val="003B5296"/>
    <w:rsid w:val="003E0216"/>
    <w:rsid w:val="003E6682"/>
    <w:rsid w:val="003F3FEE"/>
    <w:rsid w:val="004035C2"/>
    <w:rsid w:val="00406304"/>
    <w:rsid w:val="0041517C"/>
    <w:rsid w:val="00417007"/>
    <w:rsid w:val="00442C84"/>
    <w:rsid w:val="00445932"/>
    <w:rsid w:val="00460025"/>
    <w:rsid w:val="00461516"/>
    <w:rsid w:val="004716F9"/>
    <w:rsid w:val="00474A50"/>
    <w:rsid w:val="00476274"/>
    <w:rsid w:val="00476F83"/>
    <w:rsid w:val="00477FFD"/>
    <w:rsid w:val="00480EEE"/>
    <w:rsid w:val="00482191"/>
    <w:rsid w:val="0048667B"/>
    <w:rsid w:val="00495A56"/>
    <w:rsid w:val="004B2327"/>
    <w:rsid w:val="004B3997"/>
    <w:rsid w:val="004C2236"/>
    <w:rsid w:val="004C7B37"/>
    <w:rsid w:val="004D5406"/>
    <w:rsid w:val="004E3269"/>
    <w:rsid w:val="004E46DA"/>
    <w:rsid w:val="00501A93"/>
    <w:rsid w:val="005276EB"/>
    <w:rsid w:val="00532D9A"/>
    <w:rsid w:val="00567820"/>
    <w:rsid w:val="00571C7C"/>
    <w:rsid w:val="005765D9"/>
    <w:rsid w:val="0058291E"/>
    <w:rsid w:val="00582D09"/>
    <w:rsid w:val="00583B96"/>
    <w:rsid w:val="00597324"/>
    <w:rsid w:val="005A32FA"/>
    <w:rsid w:val="005A6FFE"/>
    <w:rsid w:val="005B6BD2"/>
    <w:rsid w:val="005B7B7C"/>
    <w:rsid w:val="005C5A60"/>
    <w:rsid w:val="005D155B"/>
    <w:rsid w:val="005F0845"/>
    <w:rsid w:val="00613DAE"/>
    <w:rsid w:val="00615BF2"/>
    <w:rsid w:val="00616694"/>
    <w:rsid w:val="006323D6"/>
    <w:rsid w:val="006A55DC"/>
    <w:rsid w:val="006B03C1"/>
    <w:rsid w:val="006D08CC"/>
    <w:rsid w:val="006D35BC"/>
    <w:rsid w:val="006D7AC0"/>
    <w:rsid w:val="006E5B42"/>
    <w:rsid w:val="00704EF5"/>
    <w:rsid w:val="00725BCA"/>
    <w:rsid w:val="007334D2"/>
    <w:rsid w:val="007376A8"/>
    <w:rsid w:val="00742CE2"/>
    <w:rsid w:val="00754628"/>
    <w:rsid w:val="00767EF1"/>
    <w:rsid w:val="0077054E"/>
    <w:rsid w:val="00771AED"/>
    <w:rsid w:val="00781A27"/>
    <w:rsid w:val="0078739C"/>
    <w:rsid w:val="007A6D95"/>
    <w:rsid w:val="007C0AB8"/>
    <w:rsid w:val="007C3426"/>
    <w:rsid w:val="007D663D"/>
    <w:rsid w:val="007E7A31"/>
    <w:rsid w:val="007F73A5"/>
    <w:rsid w:val="00801C94"/>
    <w:rsid w:val="00821866"/>
    <w:rsid w:val="00825542"/>
    <w:rsid w:val="00825CC1"/>
    <w:rsid w:val="008328B8"/>
    <w:rsid w:val="00834379"/>
    <w:rsid w:val="00846E9A"/>
    <w:rsid w:val="00870625"/>
    <w:rsid w:val="008839CC"/>
    <w:rsid w:val="00890665"/>
    <w:rsid w:val="008A69A8"/>
    <w:rsid w:val="008B6448"/>
    <w:rsid w:val="008C5B93"/>
    <w:rsid w:val="008F14F0"/>
    <w:rsid w:val="00901548"/>
    <w:rsid w:val="00906F8D"/>
    <w:rsid w:val="00910088"/>
    <w:rsid w:val="00911449"/>
    <w:rsid w:val="00927530"/>
    <w:rsid w:val="00934885"/>
    <w:rsid w:val="00941A06"/>
    <w:rsid w:val="00944876"/>
    <w:rsid w:val="009466BC"/>
    <w:rsid w:val="00950BAA"/>
    <w:rsid w:val="00964908"/>
    <w:rsid w:val="009860F8"/>
    <w:rsid w:val="009863AD"/>
    <w:rsid w:val="00996462"/>
    <w:rsid w:val="009A6237"/>
    <w:rsid w:val="009B650D"/>
    <w:rsid w:val="009C402B"/>
    <w:rsid w:val="009C4F61"/>
    <w:rsid w:val="009D0189"/>
    <w:rsid w:val="009D37CC"/>
    <w:rsid w:val="009E0743"/>
    <w:rsid w:val="009E1704"/>
    <w:rsid w:val="009F02A4"/>
    <w:rsid w:val="009F4156"/>
    <w:rsid w:val="00A0041B"/>
    <w:rsid w:val="00A157E3"/>
    <w:rsid w:val="00A17913"/>
    <w:rsid w:val="00A37EB0"/>
    <w:rsid w:val="00A40BA3"/>
    <w:rsid w:val="00A6122B"/>
    <w:rsid w:val="00A63415"/>
    <w:rsid w:val="00A670C0"/>
    <w:rsid w:val="00A674F1"/>
    <w:rsid w:val="00A722B4"/>
    <w:rsid w:val="00A74CC3"/>
    <w:rsid w:val="00A802AD"/>
    <w:rsid w:val="00AA4F27"/>
    <w:rsid w:val="00AA7E5D"/>
    <w:rsid w:val="00AB3EDD"/>
    <w:rsid w:val="00AD1CE3"/>
    <w:rsid w:val="00AD2358"/>
    <w:rsid w:val="00AD3AE1"/>
    <w:rsid w:val="00AD44CB"/>
    <w:rsid w:val="00AE1244"/>
    <w:rsid w:val="00AE190E"/>
    <w:rsid w:val="00AF2E74"/>
    <w:rsid w:val="00B04FA6"/>
    <w:rsid w:val="00B101D4"/>
    <w:rsid w:val="00B1274B"/>
    <w:rsid w:val="00B163DB"/>
    <w:rsid w:val="00B210A8"/>
    <w:rsid w:val="00B2730A"/>
    <w:rsid w:val="00B40B7C"/>
    <w:rsid w:val="00B53A47"/>
    <w:rsid w:val="00B730E0"/>
    <w:rsid w:val="00B90706"/>
    <w:rsid w:val="00B90783"/>
    <w:rsid w:val="00B969ED"/>
    <w:rsid w:val="00B977CE"/>
    <w:rsid w:val="00BB22DF"/>
    <w:rsid w:val="00BB3954"/>
    <w:rsid w:val="00BB5C52"/>
    <w:rsid w:val="00BC5016"/>
    <w:rsid w:val="00BD0E99"/>
    <w:rsid w:val="00BD2AE7"/>
    <w:rsid w:val="00BE2D6B"/>
    <w:rsid w:val="00BE69F3"/>
    <w:rsid w:val="00BF7729"/>
    <w:rsid w:val="00C00222"/>
    <w:rsid w:val="00C01AE3"/>
    <w:rsid w:val="00C0495B"/>
    <w:rsid w:val="00C06BB2"/>
    <w:rsid w:val="00C15AF0"/>
    <w:rsid w:val="00C2094C"/>
    <w:rsid w:val="00C238DB"/>
    <w:rsid w:val="00C37565"/>
    <w:rsid w:val="00C45EE1"/>
    <w:rsid w:val="00C53E9B"/>
    <w:rsid w:val="00C56A09"/>
    <w:rsid w:val="00C60663"/>
    <w:rsid w:val="00C648AC"/>
    <w:rsid w:val="00C649C7"/>
    <w:rsid w:val="00C65334"/>
    <w:rsid w:val="00C67418"/>
    <w:rsid w:val="00C861ED"/>
    <w:rsid w:val="00C87DF0"/>
    <w:rsid w:val="00C93336"/>
    <w:rsid w:val="00CA2376"/>
    <w:rsid w:val="00CC7D6E"/>
    <w:rsid w:val="00CE1E9F"/>
    <w:rsid w:val="00CF7E5B"/>
    <w:rsid w:val="00D024C4"/>
    <w:rsid w:val="00D11F52"/>
    <w:rsid w:val="00D13CFA"/>
    <w:rsid w:val="00D1547D"/>
    <w:rsid w:val="00D15E09"/>
    <w:rsid w:val="00D419EE"/>
    <w:rsid w:val="00D42AC6"/>
    <w:rsid w:val="00D438C4"/>
    <w:rsid w:val="00D656C4"/>
    <w:rsid w:val="00D75028"/>
    <w:rsid w:val="00D75C11"/>
    <w:rsid w:val="00D85EA5"/>
    <w:rsid w:val="00D904BC"/>
    <w:rsid w:val="00D92B8E"/>
    <w:rsid w:val="00DA148E"/>
    <w:rsid w:val="00DA29BE"/>
    <w:rsid w:val="00DC5422"/>
    <w:rsid w:val="00DD17A5"/>
    <w:rsid w:val="00DD55E9"/>
    <w:rsid w:val="00DD6581"/>
    <w:rsid w:val="00DD7427"/>
    <w:rsid w:val="00E03B97"/>
    <w:rsid w:val="00E06717"/>
    <w:rsid w:val="00E06F39"/>
    <w:rsid w:val="00E11B87"/>
    <w:rsid w:val="00E13099"/>
    <w:rsid w:val="00E150CA"/>
    <w:rsid w:val="00E160A4"/>
    <w:rsid w:val="00E24460"/>
    <w:rsid w:val="00E25A20"/>
    <w:rsid w:val="00E40E06"/>
    <w:rsid w:val="00E5154D"/>
    <w:rsid w:val="00E57ACE"/>
    <w:rsid w:val="00E63A95"/>
    <w:rsid w:val="00E856FA"/>
    <w:rsid w:val="00EA7C25"/>
    <w:rsid w:val="00F01DA4"/>
    <w:rsid w:val="00F14098"/>
    <w:rsid w:val="00F24465"/>
    <w:rsid w:val="00F27120"/>
    <w:rsid w:val="00F30142"/>
    <w:rsid w:val="00F35F8A"/>
    <w:rsid w:val="00F417B0"/>
    <w:rsid w:val="00F45768"/>
    <w:rsid w:val="00F5335D"/>
    <w:rsid w:val="00F75170"/>
    <w:rsid w:val="00F838F0"/>
    <w:rsid w:val="00FB0F51"/>
    <w:rsid w:val="00FD3106"/>
    <w:rsid w:val="00FF6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F30"/>
  </w:style>
  <w:style w:type="paragraph" w:styleId="1">
    <w:name w:val="heading 1"/>
    <w:basedOn w:val="a"/>
    <w:next w:val="a"/>
    <w:link w:val="1Char"/>
    <w:uiPriority w:val="9"/>
    <w:qFormat/>
    <w:rsid w:val="00067F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67F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67F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67F3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67F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67F3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67F3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67F3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67F3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7F30"/>
    <w:rPr>
      <w:b/>
      <w:bCs/>
    </w:rPr>
  </w:style>
  <w:style w:type="paragraph" w:styleId="a4">
    <w:name w:val="List Paragraph"/>
    <w:basedOn w:val="a"/>
    <w:uiPriority w:val="34"/>
    <w:qFormat/>
    <w:rsid w:val="00067F30"/>
    <w:pPr>
      <w:ind w:left="720"/>
      <w:contextualSpacing/>
    </w:pPr>
  </w:style>
  <w:style w:type="paragraph" w:styleId="a5">
    <w:name w:val="Title"/>
    <w:basedOn w:val="a"/>
    <w:next w:val="a"/>
    <w:link w:val="Char"/>
    <w:uiPriority w:val="10"/>
    <w:qFormat/>
    <w:rsid w:val="00067F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제목 Char"/>
    <w:basedOn w:val="a0"/>
    <w:link w:val="a5"/>
    <w:uiPriority w:val="10"/>
    <w:rsid w:val="00067F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har">
    <w:name w:val="제목 1 Char"/>
    <w:basedOn w:val="a0"/>
    <w:link w:val="1"/>
    <w:uiPriority w:val="9"/>
    <w:rsid w:val="00067F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067F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제목 3 Char"/>
    <w:basedOn w:val="a0"/>
    <w:link w:val="3"/>
    <w:uiPriority w:val="9"/>
    <w:rsid w:val="00067F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제목 4 Char"/>
    <w:basedOn w:val="a0"/>
    <w:link w:val="4"/>
    <w:uiPriority w:val="9"/>
    <w:rsid w:val="00067F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제목 5 Char"/>
    <w:basedOn w:val="a0"/>
    <w:link w:val="5"/>
    <w:uiPriority w:val="9"/>
    <w:rsid w:val="00067F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제목 6 Char"/>
    <w:basedOn w:val="a0"/>
    <w:link w:val="6"/>
    <w:uiPriority w:val="9"/>
    <w:rsid w:val="00067F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제목 7 Char"/>
    <w:basedOn w:val="a0"/>
    <w:link w:val="7"/>
    <w:uiPriority w:val="9"/>
    <w:rsid w:val="00067F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제목 8 Char"/>
    <w:basedOn w:val="a0"/>
    <w:link w:val="8"/>
    <w:uiPriority w:val="9"/>
    <w:rsid w:val="00067F3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제목 9 Char"/>
    <w:basedOn w:val="a0"/>
    <w:link w:val="9"/>
    <w:uiPriority w:val="9"/>
    <w:rsid w:val="00067F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067F3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Subtitle"/>
    <w:basedOn w:val="a"/>
    <w:next w:val="a"/>
    <w:link w:val="Char0"/>
    <w:uiPriority w:val="11"/>
    <w:qFormat/>
    <w:rsid w:val="00067F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부제 Char"/>
    <w:basedOn w:val="a0"/>
    <w:link w:val="a7"/>
    <w:uiPriority w:val="11"/>
    <w:rsid w:val="00067F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Emphasis"/>
    <w:basedOn w:val="a0"/>
    <w:uiPriority w:val="20"/>
    <w:qFormat/>
    <w:rsid w:val="00067F30"/>
    <w:rPr>
      <w:i/>
      <w:iCs/>
    </w:rPr>
  </w:style>
  <w:style w:type="paragraph" w:styleId="a9">
    <w:name w:val="No Spacing"/>
    <w:uiPriority w:val="1"/>
    <w:qFormat/>
    <w:rsid w:val="00067F30"/>
    <w:pPr>
      <w:spacing w:after="0" w:line="240" w:lineRule="auto"/>
    </w:pPr>
  </w:style>
  <w:style w:type="paragraph" w:styleId="aa">
    <w:name w:val="Quote"/>
    <w:basedOn w:val="a"/>
    <w:next w:val="a"/>
    <w:link w:val="Char1"/>
    <w:uiPriority w:val="29"/>
    <w:qFormat/>
    <w:rsid w:val="00067F30"/>
    <w:rPr>
      <w:i/>
      <w:iCs/>
      <w:color w:val="000000" w:themeColor="text1"/>
    </w:rPr>
  </w:style>
  <w:style w:type="character" w:customStyle="1" w:styleId="Char1">
    <w:name w:val="인용 Char"/>
    <w:basedOn w:val="a0"/>
    <w:link w:val="aa"/>
    <w:uiPriority w:val="29"/>
    <w:rsid w:val="00067F30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067F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강한 인용 Char"/>
    <w:basedOn w:val="a0"/>
    <w:link w:val="ab"/>
    <w:uiPriority w:val="30"/>
    <w:rsid w:val="00067F30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067F30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067F3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067F30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067F30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067F30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067F30"/>
    <w:pPr>
      <w:outlineLvl w:val="9"/>
    </w:pPr>
  </w:style>
  <w:style w:type="paragraph" w:customStyle="1" w:styleId="af1">
    <w:name w:val="바탕글"/>
    <w:basedOn w:val="a"/>
    <w:rsid w:val="001C740D"/>
    <w:pPr>
      <w:spacing w:before="100" w:beforeAutospacing="1" w:after="100" w:afterAutospacing="1" w:line="240" w:lineRule="auto"/>
      <w:jc w:val="left"/>
    </w:pPr>
    <w:rPr>
      <w:rFonts w:ascii="굴림" w:eastAsia="굴림" w:hAnsi="굴림" w:cs="굴림"/>
      <w:color w:val="000000"/>
      <w:sz w:val="24"/>
      <w:szCs w:val="24"/>
      <w:lang w:eastAsia="ko-KR" w:bidi="ar-SA"/>
    </w:rPr>
  </w:style>
  <w:style w:type="paragraph" w:styleId="af2">
    <w:name w:val="Balloon Text"/>
    <w:basedOn w:val="a"/>
    <w:link w:val="Char3"/>
    <w:uiPriority w:val="99"/>
    <w:semiHidden/>
    <w:unhideWhenUsed/>
    <w:rsid w:val="001C740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f2"/>
    <w:uiPriority w:val="99"/>
    <w:semiHidden/>
    <w:rsid w:val="001C74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1910</Words>
  <Characters>10892</Characters>
  <Application>Microsoft Office Word</Application>
  <DocSecurity>0</DocSecurity>
  <Lines>90</Lines>
  <Paragraphs>25</Paragraphs>
  <ScaleCrop>false</ScaleCrop>
  <Company>XP SP3 FINAL</Company>
  <LinksUpToDate>false</LinksUpToDate>
  <CharactersWithSpaces>12777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snoopy</dc:creator>
  <cp:keywords/>
  <dc:description/>
  <cp:lastModifiedBy>snoopy</cp:lastModifiedBy>
  <cp:revision>1</cp:revision>
  <dcterms:created xsi:type="dcterms:W3CDTF">2012-02-09T05:38:00Z</dcterms:created>
  <dcterms:modified xsi:type="dcterms:W3CDTF">2012-02-09T05:39:00Z</dcterms:modified>
</cp:coreProperties>
</file>